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Załącznik Nr 11 do Polityki Ochrony Danych Osobowych</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Karta Informacji – monitoring wizyjny</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Wersja z dnia 25.04.2024 r.</w:t>
      </w:r>
    </w:p>
    <w:p>
      <w:pPr>
        <w:pStyle w:val="Normal"/>
        <w:spacing w:lineRule="auto" w:line="276" w:before="0" w:after="120"/>
        <w:rPr>
          <w:rFonts w:ascii="Arial" w:hAnsi="Arial" w:cs="Arial"/>
          <w:b/>
          <w:b/>
          <w:sz w:val="20"/>
          <w:szCs w:val="20"/>
        </w:rPr>
      </w:pPr>
      <w:r>
        <w:rPr>
          <w:rFonts w:cs="Arial" w:ascii="Arial" w:hAnsi="Arial"/>
          <w:b/>
          <w:sz w:val="20"/>
          <w:szCs w:val="20"/>
        </w:rPr>
      </w:r>
    </w:p>
    <w:p>
      <w:pPr>
        <w:pStyle w:val="Normal"/>
        <w:spacing w:lineRule="auto" w:line="276" w:before="0" w:after="120"/>
        <w:jc w:val="center"/>
        <w:rPr>
          <w:rFonts w:ascii="Arial" w:hAnsi="Arial" w:cs="Arial"/>
          <w:b/>
          <w:b/>
          <w:sz w:val="18"/>
          <w:szCs w:val="18"/>
        </w:rPr>
      </w:pPr>
      <w:r>
        <w:rPr>
          <w:rFonts w:cs="Arial" w:ascii="Arial" w:hAnsi="Arial"/>
          <w:b/>
          <w:sz w:val="18"/>
          <w:szCs w:val="18"/>
        </w:rPr>
        <w:t>KARTA INFORMACJI – MONITORING WIZYJNY</w:t>
      </w:r>
    </w:p>
    <w:p>
      <w:pPr>
        <w:pStyle w:val="Normal"/>
        <w:spacing w:lineRule="auto" w:line="276" w:before="0" w:after="120"/>
        <w:jc w:val="center"/>
        <w:rPr>
          <w:rFonts w:ascii="Arial" w:hAnsi="Arial" w:cs="Arial"/>
          <w:b/>
          <w:b/>
          <w:sz w:val="18"/>
          <w:szCs w:val="18"/>
        </w:rPr>
      </w:pPr>
      <w:r>
        <w:rPr>
          <w:rFonts w:cs="Arial" w:ascii="Arial" w:hAnsi="Arial"/>
          <w:b/>
          <w:sz w:val="18"/>
          <w:szCs w:val="18"/>
        </w:rPr>
      </w:r>
    </w:p>
    <w:p>
      <w:pPr>
        <w:pStyle w:val="Normal"/>
        <w:numPr>
          <w:ilvl w:val="0"/>
          <w:numId w:val="3"/>
        </w:numPr>
        <w:spacing w:lineRule="auto" w:line="276" w:before="0" w:after="120"/>
        <w:ind w:left="426" w:hanging="360"/>
        <w:jc w:val="left"/>
        <w:rPr>
          <w:rFonts w:ascii="Arial" w:hAnsi="Arial" w:cs="Arial"/>
          <w:b/>
          <w:b/>
          <w:sz w:val="18"/>
          <w:szCs w:val="18"/>
        </w:rPr>
      </w:pPr>
      <w:r>
        <w:rPr>
          <w:rFonts w:cs="Arial" w:ascii="Arial" w:hAnsi="Arial"/>
          <w:b/>
          <w:sz w:val="18"/>
          <w:szCs w:val="18"/>
        </w:rPr>
        <w:t>Administrator Danych Osobowych – Dane Kontaktowe</w:t>
        <w:tab/>
        <w:tab/>
        <w:tab/>
        <w:tab/>
      </w:r>
    </w:p>
    <w:p>
      <w:pPr>
        <w:pStyle w:val="Normal"/>
        <w:numPr>
          <w:ilvl w:val="1"/>
          <w:numId w:val="3"/>
        </w:numPr>
        <w:spacing w:lineRule="auto" w:line="276" w:before="0" w:after="120"/>
        <w:ind w:left="709" w:hanging="360"/>
        <w:rPr>
          <w:rFonts w:ascii="Arial" w:hAnsi="Arial" w:cs="Arial"/>
          <w:sz w:val="18"/>
          <w:szCs w:val="18"/>
        </w:rPr>
      </w:pPr>
      <w:r>
        <w:rPr>
          <w:rFonts w:cs="Arial" w:ascii="Arial" w:hAnsi="Arial"/>
          <w:sz w:val="18"/>
          <w:szCs w:val="18"/>
        </w:rPr>
        <w:t>Administratorem Danych Osobowych jest Wojewódzki Szpital Specjalistyczny im. błogosławionego księdza Jerzego Popiełuszki we Włocławku.</w:t>
      </w:r>
    </w:p>
    <w:p>
      <w:pPr>
        <w:pStyle w:val="Normal"/>
        <w:numPr>
          <w:ilvl w:val="1"/>
          <w:numId w:val="3"/>
        </w:numPr>
        <w:spacing w:lineRule="auto" w:line="276" w:before="0" w:after="120"/>
        <w:ind w:left="709" w:hanging="360"/>
        <w:rPr>
          <w:rFonts w:ascii="Arial" w:hAnsi="Arial" w:cs="Arial"/>
          <w:sz w:val="18"/>
          <w:szCs w:val="18"/>
        </w:rPr>
      </w:pPr>
      <w:r>
        <w:rPr>
          <w:rFonts w:cs="Arial" w:ascii="Arial" w:hAnsi="Arial"/>
          <w:sz w:val="18"/>
          <w:szCs w:val="18"/>
        </w:rPr>
        <w:t>Dane kontaktowe ADO są następujące:</w:t>
      </w:r>
    </w:p>
    <w:tbl>
      <w:tblPr>
        <w:tblStyle w:val="Tabela-Siatka"/>
        <w:tblW w:w="8353" w:type="dxa"/>
        <w:jc w:val="left"/>
        <w:tblInd w:w="709" w:type="dxa"/>
        <w:tblLayout w:type="fixed"/>
        <w:tblCellMar>
          <w:top w:w="0" w:type="dxa"/>
          <w:left w:w="108" w:type="dxa"/>
          <w:bottom w:w="0" w:type="dxa"/>
          <w:right w:w="108" w:type="dxa"/>
        </w:tblCellMar>
        <w:tblLook w:firstRow="1" w:noVBand="1" w:lastRow="0" w:firstColumn="1" w:lastColumn="0" w:noHBand="0" w:val="04a0"/>
      </w:tblPr>
      <w:tblGrid>
        <w:gridCol w:w="2120"/>
        <w:gridCol w:w="6232"/>
      </w:tblGrid>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Nazwa:</w:t>
              <w:tab/>
            </w:r>
          </w:p>
        </w:tc>
        <w:tc>
          <w:tcPr>
            <w:tcW w:w="6232"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Wojewódzki Szpital Specjalistyczny im. błogosławionego księdza Jerzego Popiełuszki we Włocławku</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Adres:</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ul. Wieniecka 49, 87-800 Włocławek</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 xml:space="preserve">Dane Rejestrowe: </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KRS: 0000457089, NIP: 888-311-78-73, REGON: 341411727</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Telefon:</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54 412 90 00 (Centrala Telefoniczna)</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Fax:</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54 412 92 95</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E-Mail:</w:t>
              <w:tab/>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sekretariat@szpital.wloclawek.pl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Strona www:</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www.szpital.wloclawek.pl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BIP:</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https://bip.szpital.wloclawek.pl/</w:t>
            </w:r>
          </w:p>
        </w:tc>
      </w:tr>
    </w:tbl>
    <w:p>
      <w:pPr>
        <w:pStyle w:val="Normal"/>
        <w:spacing w:lineRule="auto" w:line="276" w:before="0" w:after="120"/>
        <w:ind w:left="709" w:hanging="0"/>
        <w:rPr>
          <w:rFonts w:ascii="Arial" w:hAnsi="Arial" w:cs="Arial"/>
          <w:sz w:val="18"/>
          <w:szCs w:val="18"/>
        </w:rPr>
      </w:pPr>
      <w:r>
        <w:rPr>
          <w:rFonts w:cs="Arial" w:ascii="Arial" w:hAnsi="Arial"/>
          <w:sz w:val="18"/>
          <w:szCs w:val="18"/>
        </w:rPr>
      </w:r>
    </w:p>
    <w:p>
      <w:pPr>
        <w:pStyle w:val="Normal"/>
        <w:numPr>
          <w:ilvl w:val="1"/>
          <w:numId w:val="3"/>
        </w:numPr>
        <w:spacing w:lineRule="auto" w:line="276" w:before="0" w:after="120"/>
        <w:ind w:left="709" w:hanging="360"/>
        <w:rPr>
          <w:rFonts w:ascii="Arial" w:hAnsi="Arial" w:cs="Arial"/>
          <w:sz w:val="18"/>
          <w:szCs w:val="18"/>
        </w:rPr>
      </w:pPr>
      <w:r>
        <w:rPr>
          <w:rFonts w:cs="Arial" w:ascii="Arial" w:hAnsi="Arial"/>
          <w:sz w:val="18"/>
          <w:szCs w:val="18"/>
        </w:rPr>
        <w:t>ADO powołuje Inspektora Ochrony Danych Osobowych (IODO).</w:t>
      </w:r>
    </w:p>
    <w:p>
      <w:pPr>
        <w:pStyle w:val="Normal"/>
        <w:numPr>
          <w:ilvl w:val="1"/>
          <w:numId w:val="3"/>
        </w:numPr>
        <w:spacing w:lineRule="auto" w:line="276" w:before="0" w:after="120"/>
        <w:ind w:left="709" w:hanging="360"/>
        <w:rPr>
          <w:rFonts w:ascii="Arial" w:hAnsi="Arial" w:cs="Arial"/>
          <w:sz w:val="18"/>
          <w:szCs w:val="18"/>
        </w:rPr>
      </w:pPr>
      <w:r>
        <w:rPr>
          <w:rFonts w:cs="Arial" w:ascii="Arial" w:hAnsi="Arial"/>
          <w:sz w:val="18"/>
          <w:szCs w:val="18"/>
        </w:rPr>
        <w:t>Dane Kontaktowe IODO są następujące:</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 xml:space="preserve">Adres: </w:t>
        <w:tab/>
        <w:tab/>
        <w:t>ul. Wieniecka 49, 87-800 Włocławek</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E-Mail:</w:t>
        <w:tab/>
        <w:tab/>
        <w:t xml:space="preserve"> iodo@szpital.wloclawek.pl</w:t>
      </w:r>
    </w:p>
    <w:p>
      <w:pPr>
        <w:pStyle w:val="Normal"/>
        <w:numPr>
          <w:ilvl w:val="1"/>
          <w:numId w:val="3"/>
        </w:numPr>
        <w:spacing w:lineRule="auto" w:line="276" w:before="0" w:after="120"/>
        <w:ind w:left="709" w:hanging="360"/>
        <w:rPr>
          <w:rFonts w:ascii="Arial" w:hAnsi="Arial" w:cs="Arial"/>
          <w:sz w:val="18"/>
          <w:szCs w:val="18"/>
        </w:rPr>
      </w:pPr>
      <w:r>
        <w:rPr>
          <w:rFonts w:cs="Arial" w:ascii="Arial" w:hAnsi="Arial"/>
          <w:sz w:val="18"/>
          <w:szCs w:val="18"/>
        </w:rPr>
        <w:t xml:space="preserve">ADO przetwarza dane osobowe jako jedyny Administrator. </w:t>
      </w:r>
    </w:p>
    <w:p>
      <w:pPr>
        <w:pStyle w:val="Normal"/>
        <w:numPr>
          <w:ilvl w:val="1"/>
          <w:numId w:val="3"/>
        </w:numPr>
        <w:spacing w:lineRule="auto" w:line="276" w:before="0" w:after="120"/>
        <w:ind w:left="709" w:hanging="360"/>
        <w:rPr>
          <w:rFonts w:ascii="Arial" w:hAnsi="Arial" w:cs="Arial"/>
          <w:sz w:val="18"/>
          <w:szCs w:val="18"/>
        </w:rPr>
      </w:pPr>
      <w:r>
        <w:rPr>
          <w:rFonts w:cs="Arial" w:ascii="Arial" w:hAnsi="Arial"/>
          <w:sz w:val="18"/>
          <w:szCs w:val="18"/>
        </w:rPr>
        <w:t>W procesie przetwarzania danych osobowych nie przewiduje się występowania Współadministratora Danych Osobowych.</w:t>
      </w:r>
    </w:p>
    <w:p>
      <w:pPr>
        <w:pStyle w:val="Normal"/>
        <w:numPr>
          <w:ilvl w:val="1"/>
          <w:numId w:val="3"/>
        </w:numPr>
        <w:spacing w:lineRule="auto" w:line="276" w:before="0" w:after="120"/>
        <w:ind w:left="709" w:hanging="360"/>
        <w:rPr>
          <w:rFonts w:ascii="Arial" w:hAnsi="Arial" w:cs="Arial"/>
          <w:sz w:val="18"/>
          <w:szCs w:val="18"/>
        </w:rPr>
      </w:pPr>
      <w:r>
        <w:rPr>
          <w:rFonts w:cs="Arial" w:ascii="Arial" w:hAnsi="Arial"/>
          <w:sz w:val="18"/>
          <w:szCs w:val="18"/>
        </w:rPr>
        <w:t>ADO jest Samodzielnym Publicznym Zakładem Opieki Zdrowotnej, wykonującym działalność leczniczą na zasadach określonych w ustawie z dnia 15 kwietnia 2011r. o działalności leczniczej (Dz.U. z 2018r. poz. 160 z późn. zm.)</w:t>
      </w:r>
    </w:p>
    <w:p>
      <w:pPr>
        <w:pStyle w:val="Normal"/>
        <w:numPr>
          <w:ilvl w:val="0"/>
          <w:numId w:val="3"/>
        </w:numPr>
        <w:spacing w:lineRule="auto" w:line="276" w:before="0" w:after="120"/>
        <w:ind w:left="426" w:hanging="360"/>
        <w:rPr>
          <w:rFonts w:ascii="Arial" w:hAnsi="Arial" w:cs="Arial"/>
          <w:b/>
          <w:b/>
          <w:sz w:val="18"/>
          <w:szCs w:val="18"/>
        </w:rPr>
      </w:pPr>
      <w:r>
        <w:rPr>
          <w:rFonts w:cs="Arial" w:ascii="Arial" w:hAnsi="Arial"/>
          <w:b/>
          <w:sz w:val="18"/>
          <w:szCs w:val="18"/>
        </w:rPr>
        <w:t>Zasady Udzielania Informacji – monitoring wizyjny</w:t>
      </w:r>
    </w:p>
    <w:p>
      <w:pPr>
        <w:pStyle w:val="Normal"/>
        <w:numPr>
          <w:ilvl w:val="1"/>
          <w:numId w:val="3"/>
        </w:numPr>
        <w:spacing w:lineRule="auto" w:line="276" w:before="0" w:after="120"/>
        <w:ind w:left="709" w:hanging="360"/>
        <w:rPr>
          <w:rFonts w:ascii="Arial" w:hAnsi="Arial" w:cs="Arial"/>
          <w:sz w:val="18"/>
          <w:szCs w:val="18"/>
        </w:rPr>
      </w:pPr>
      <w:r>
        <w:rPr>
          <w:rFonts w:cs="Arial" w:ascii="Arial" w:hAnsi="Arial"/>
          <w:sz w:val="18"/>
          <w:szCs w:val="18"/>
        </w:rPr>
        <w:t>ADO przestrzega praw osób fizycznych w związku z procesem przetwarzania danych osobowych, które ich dotyczą nadto udziela im wymaganych prawem informacji w zakresie tychże praw.</w:t>
      </w:r>
    </w:p>
    <w:p>
      <w:pPr>
        <w:pStyle w:val="Normal"/>
        <w:numPr>
          <w:ilvl w:val="1"/>
          <w:numId w:val="3"/>
        </w:numPr>
        <w:spacing w:lineRule="auto" w:line="276" w:before="0" w:after="120"/>
        <w:ind w:left="709" w:hanging="360"/>
        <w:rPr>
          <w:rFonts w:ascii="Arial" w:hAnsi="Arial" w:cs="Arial"/>
          <w:sz w:val="18"/>
          <w:szCs w:val="18"/>
        </w:rPr>
      </w:pPr>
      <w:r>
        <w:rPr>
          <w:rFonts w:cs="Arial" w:ascii="Arial" w:hAnsi="Arial"/>
          <w:sz w:val="18"/>
          <w:szCs w:val="18"/>
        </w:rPr>
        <w:t>Katalog praw osób fizycznych w zakresie przetwarzania danych osobowych wraz z ich wyjaśnieniem ujęty został w poniższym zestawieniu tabelarycznym.</w:t>
      </w:r>
    </w:p>
    <w:tbl>
      <w:tblPr>
        <w:tblStyle w:val="Tabela-Siatka7"/>
        <w:tblW w:w="8930" w:type="dxa"/>
        <w:jc w:val="left"/>
        <w:tblInd w:w="279" w:type="dxa"/>
        <w:tblLayout w:type="fixed"/>
        <w:tblCellMar>
          <w:top w:w="0" w:type="dxa"/>
          <w:left w:w="108" w:type="dxa"/>
          <w:bottom w:w="0" w:type="dxa"/>
          <w:right w:w="108" w:type="dxa"/>
        </w:tblCellMar>
        <w:tblLook w:firstRow="1" w:noVBand="1" w:lastRow="0" w:firstColumn="1" w:lastColumn="0" w:noHBand="0" w:val="04a0"/>
      </w:tblPr>
      <w:tblGrid>
        <w:gridCol w:w="709"/>
        <w:gridCol w:w="2409"/>
        <w:gridCol w:w="5812"/>
      </w:tblGrid>
      <w:tr>
        <w:trPr/>
        <w:tc>
          <w:tcPr>
            <w:tcW w:w="709"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L.p.</w:t>
            </w:r>
          </w:p>
        </w:tc>
        <w:tc>
          <w:tcPr>
            <w:tcW w:w="2409"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Prawo osoby fizycznej</w:t>
            </w:r>
          </w:p>
        </w:tc>
        <w:tc>
          <w:tcPr>
            <w:tcW w:w="5812"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Wyjaśnienie</w:t>
            </w:r>
          </w:p>
        </w:tc>
      </w:tr>
      <w:tr>
        <w:trPr/>
        <w:tc>
          <w:tcPr>
            <w:tcW w:w="709"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w:t>
            </w:r>
          </w:p>
        </w:tc>
        <w:tc>
          <w:tcPr>
            <w:tcW w:w="2409"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Tożsamość ADO</w:t>
            </w:r>
          </w:p>
        </w:tc>
        <w:tc>
          <w:tcPr>
            <w:tcW w:w="5812"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Administratorem Danych Osobowych (ADO) względem Państwa danych jest </w:t>
            </w:r>
            <w:r>
              <w:rPr>
                <w:rFonts w:eastAsia="Calibri" w:cs="Arial" w:ascii="Arial" w:hAnsi="Arial"/>
                <w:b/>
                <w:kern w:val="0"/>
                <w:sz w:val="18"/>
                <w:szCs w:val="18"/>
                <w:lang w:val="pl-PL" w:bidi="ar-SA"/>
              </w:rPr>
              <w:t>Wojewódzki Szpital Specjalistyczny im. błogosławionego księdza Jerzego Popiełuszki we Włocławku</w:t>
            </w:r>
            <w:r>
              <w:rPr>
                <w:rFonts w:eastAsia="Calibri" w:cs="Arial" w:ascii="Arial" w:hAnsi="Arial"/>
                <w:kern w:val="0"/>
                <w:sz w:val="18"/>
                <w:szCs w:val="18"/>
                <w:lang w:val="pl-PL" w:bidi="ar-SA"/>
              </w:rPr>
              <w:t>.</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Telefon: 54 412 90 00 (Centrala Telefoniczna)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Fax:</w:t>
              <w:tab/>
              <w:t xml:space="preserve"> 54 412 92 95</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sekretariat@szpital.wloclawek.pl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www.szpital.wloclawek.pl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ramach struktury ADO powołano Inspektora Ochrony Danych Osobowych (IODO)</w:t>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IODO: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Adres: </w:t>
              <w:tab/>
              <w:tab/>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ab/>
              <w:t xml:space="preserve"> iodo@szpital.wloclawek.pl</w:t>
            </w:r>
          </w:p>
        </w:tc>
      </w:tr>
      <w:tr>
        <w:trPr/>
        <w:tc>
          <w:tcPr>
            <w:tcW w:w="709"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2</w:t>
            </w:r>
          </w:p>
        </w:tc>
        <w:tc>
          <w:tcPr>
            <w:tcW w:w="2409"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Cel Przetwarzania Danych Osobowych</w:t>
            </w:r>
          </w:p>
        </w:tc>
        <w:tc>
          <w:tcPr>
            <w:tcW w:w="5812"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są przetwarzane w ściśle określonych celach związanych z działalnością ADO, są to:</w:t>
            </w:r>
          </w:p>
          <w:p>
            <w:pPr>
              <w:pStyle w:val="Normal"/>
              <w:widowControl/>
              <w:numPr>
                <w:ilvl w:val="0"/>
                <w:numId w:val="1"/>
              </w:numPr>
              <w:spacing w:before="0" w:after="0"/>
              <w:contextualSpacing/>
              <w:rPr>
                <w:rFonts w:ascii="Arial" w:hAnsi="Arial" w:cs="Arial"/>
                <w:sz w:val="18"/>
                <w:szCs w:val="18"/>
              </w:rPr>
            </w:pPr>
            <w:r>
              <w:rPr>
                <w:rFonts w:eastAsia="Calibri" w:cs="Arial" w:ascii="Arial" w:hAnsi="Arial"/>
                <w:kern w:val="0"/>
                <w:sz w:val="18"/>
                <w:szCs w:val="18"/>
                <w:lang w:val="pl-PL" w:bidi="ar-SA"/>
              </w:rPr>
              <w:t>Zapewnienie bezpieczeństwa na terenie jednostek administrowanych przez ADO;</w:t>
            </w:r>
          </w:p>
          <w:p>
            <w:pPr>
              <w:pStyle w:val="Normal"/>
              <w:widowControl/>
              <w:numPr>
                <w:ilvl w:val="0"/>
                <w:numId w:val="1"/>
              </w:numPr>
              <w:spacing w:before="0" w:after="0"/>
              <w:contextualSpacing/>
              <w:rPr>
                <w:rFonts w:ascii="Arial" w:hAnsi="Arial" w:cs="Arial"/>
                <w:sz w:val="18"/>
                <w:szCs w:val="18"/>
              </w:rPr>
            </w:pPr>
            <w:r>
              <w:rPr>
                <w:rFonts w:eastAsia="Calibri" w:cs="Arial" w:ascii="Arial" w:hAnsi="Arial"/>
                <w:kern w:val="0"/>
                <w:sz w:val="18"/>
                <w:szCs w:val="18"/>
                <w:lang w:val="pl-PL" w:bidi="ar-SA"/>
              </w:rPr>
              <w:t>Ustalanie sprawców czynów nagannych lub zabronionych.</w:t>
            </w:r>
          </w:p>
        </w:tc>
      </w:tr>
      <w:tr>
        <w:trPr/>
        <w:tc>
          <w:tcPr>
            <w:tcW w:w="709"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3</w:t>
            </w:r>
          </w:p>
        </w:tc>
        <w:tc>
          <w:tcPr>
            <w:tcW w:w="2409"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Zakres Danych </w:t>
              <w:br/>
              <w:t>i Podstawa Prawna Przetwarzania</w:t>
            </w:r>
          </w:p>
        </w:tc>
        <w:tc>
          <w:tcPr>
            <w:tcW w:w="5812"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Przetwarzane mogą być Państwa </w:t>
            </w:r>
            <w:r>
              <w:rPr>
                <w:rFonts w:eastAsia="Calibri" w:cs="Arial" w:ascii="Arial" w:hAnsi="Arial"/>
                <w:b/>
                <w:bCs/>
                <w:kern w:val="0"/>
                <w:sz w:val="18"/>
                <w:szCs w:val="18"/>
                <w:lang w:val="pl-PL" w:bidi="ar-SA"/>
              </w:rPr>
              <w:t>dane zwykłe w postaci wizerunku i zachowania.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w zależności od celu w jakim są przetwarzane mogą być przetwarzane przez ADO w oparciu </w:t>
              <w:br/>
              <w:t>o następujące podstawy prawne:</w:t>
            </w:r>
          </w:p>
          <w:p>
            <w:pPr>
              <w:pStyle w:val="Normal"/>
              <w:widowControl/>
              <w:numPr>
                <w:ilvl w:val="0"/>
                <w:numId w:val="4"/>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6 ust. 1 lit. e) i f) </w:t>
            </w:r>
          </w:p>
          <w:p>
            <w:pPr>
              <w:pStyle w:val="Normal"/>
              <w:widowControl/>
              <w:numPr>
                <w:ilvl w:val="0"/>
                <w:numId w:val="4"/>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9 ust. 2 lit g) i h) RODO </w:t>
            </w:r>
          </w:p>
          <w:p>
            <w:pPr>
              <w:pStyle w:val="Normal"/>
              <w:widowControl/>
              <w:spacing w:before="0" w:after="0"/>
              <w:ind w:left="360" w:hanging="0"/>
              <w:contextualSpacing/>
              <w:rPr>
                <w:rFonts w:ascii="Arial" w:hAnsi="Arial" w:cs="Arial"/>
                <w:bCs/>
                <w:sz w:val="18"/>
                <w:szCs w:val="18"/>
              </w:rPr>
            </w:pPr>
            <w:r>
              <w:rPr>
                <w:rFonts w:eastAsia="Calibri" w:cs="Arial" w:ascii="Arial" w:hAnsi="Arial"/>
                <w:bCs/>
                <w:kern w:val="0"/>
                <w:sz w:val="18"/>
                <w:szCs w:val="18"/>
                <w:lang w:val="pl-PL" w:bidi="ar-SA"/>
              </w:rPr>
              <w:t>w związku z właściwymi przepisami prawa krajowego, tj.:</w:t>
            </w:r>
          </w:p>
          <w:p>
            <w:pPr>
              <w:pStyle w:val="Normal"/>
              <w:widowControl/>
              <w:spacing w:before="0" w:after="0"/>
              <w:ind w:left="360" w:hanging="0"/>
              <w:contextualSpacing/>
              <w:rPr>
                <w:rFonts w:ascii="Arial" w:hAnsi="Arial" w:cs="Arial"/>
                <w:b/>
                <w:b/>
                <w:sz w:val="18"/>
                <w:szCs w:val="18"/>
              </w:rPr>
            </w:pPr>
            <w:r>
              <w:rPr>
                <w:rFonts w:eastAsia="Calibri" w:cs="Arial" w:ascii="Arial" w:hAnsi="Arial"/>
                <w:b/>
                <w:kern w:val="0"/>
                <w:sz w:val="18"/>
                <w:szCs w:val="18"/>
                <w:lang w:val="pl-PL" w:bidi="ar-SA"/>
              </w:rPr>
              <w:t>- art. 23a ustawy z dnia 15 kwietnia 2011 r. o działalności leczniczej,</w:t>
            </w:r>
          </w:p>
          <w:p>
            <w:pPr>
              <w:pStyle w:val="Normal"/>
              <w:widowControl/>
              <w:spacing w:before="0" w:after="0"/>
              <w:ind w:left="360" w:hanging="0"/>
              <w:contextualSpacing/>
              <w:rPr>
                <w:rFonts w:ascii="Arial" w:hAnsi="Arial" w:cs="Arial"/>
                <w:b/>
                <w:b/>
                <w:sz w:val="18"/>
                <w:szCs w:val="18"/>
              </w:rPr>
            </w:pPr>
            <w:r>
              <w:rPr>
                <w:rFonts w:eastAsia="Calibri" w:cs="Arial" w:ascii="Arial" w:hAnsi="Arial"/>
                <w:b/>
                <w:kern w:val="0"/>
                <w:sz w:val="18"/>
                <w:szCs w:val="18"/>
                <w:lang w:val="pl-PL" w:bidi="ar-SA"/>
              </w:rPr>
              <w:t>- Rozporządzenia Ministra Zdrowia z dnia 26 marca 2019 r. w sprawie szczegółowych wymagań, jakim powinny odpowiadać pomieszczenia i urządzenia podmiotu wykonującego działalność leczniczą,</w:t>
            </w:r>
          </w:p>
          <w:p>
            <w:pPr>
              <w:pStyle w:val="Normal"/>
              <w:widowControl/>
              <w:spacing w:before="0" w:after="0"/>
              <w:ind w:left="360" w:hanging="0"/>
              <w:contextualSpacing/>
              <w:rPr>
                <w:rFonts w:ascii="Arial" w:hAnsi="Arial" w:cs="Arial"/>
                <w:b/>
                <w:b/>
                <w:sz w:val="18"/>
                <w:szCs w:val="18"/>
              </w:rPr>
            </w:pPr>
            <w:r>
              <w:rPr>
                <w:rFonts w:eastAsia="Calibri" w:cs="Arial" w:ascii="Arial" w:hAnsi="Arial"/>
                <w:b/>
                <w:kern w:val="0"/>
                <w:sz w:val="18"/>
                <w:szCs w:val="18"/>
                <w:lang w:val="pl-PL" w:bidi="ar-SA"/>
              </w:rPr>
              <w:t>- art. 22</w:t>
            </w:r>
            <w:r>
              <w:rPr>
                <w:rFonts w:eastAsia="Calibri" w:cs="Arial" w:ascii="Arial" w:hAnsi="Arial"/>
                <w:b/>
                <w:kern w:val="0"/>
                <w:sz w:val="18"/>
                <w:szCs w:val="18"/>
                <w:vertAlign w:val="superscript"/>
                <w:lang w:val="pl-PL" w:bidi="ar-SA"/>
              </w:rPr>
              <w:t>2</w:t>
            </w:r>
            <w:r>
              <w:rPr>
                <w:rFonts w:eastAsia="Calibri" w:cs="Arial" w:ascii="Arial" w:hAnsi="Arial"/>
                <w:b/>
                <w:kern w:val="0"/>
                <w:sz w:val="18"/>
                <w:szCs w:val="18"/>
                <w:lang w:val="pl-PL" w:bidi="ar-SA"/>
              </w:rPr>
              <w:t xml:space="preserve"> ustawy z dnia 26 czerwca 1974 r. Kodeks pracy.</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4</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Prawnie uzasadniony interes ADO</w:t>
            </w:r>
          </w:p>
        </w:tc>
        <w:tc>
          <w:tcPr>
            <w:tcW w:w="5812"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toku przetwarzania danych osobowych ADO może realizować uzasadniony interes w oparciu o przesłankę z art. 6 ust. 1 lit f) m.in. w przypadku dochodzenia lub ustalenia roszczeń a także obrony przed nimi.</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5</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Odbiorcy danych osobowych</w:t>
            </w:r>
          </w:p>
        </w:tc>
        <w:tc>
          <w:tcPr>
            <w:tcW w:w="5812"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będą przekazywane zgodnie </w:t>
              <w:br/>
              <w:t>z wymogami wynikającymi z prawa, a także w ściśle określonym celu pracownikom ADO lub podmiotom współpracującym, które dysponują stosownym upoważnieniem lub umową powierzenia przetwarzania danych osobowych, celem zapewnienia odpowiedniego poziomu bezpieczeństwa.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W przypadku istnienia obowiązku prawnego lub złożenia stosownego żądania dane osobowe mogą także zostać przekazane odpowiednim organom państwowym. </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6</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Przekazanie do państw trzecich lub organizacji międzynarodowych</w:t>
            </w:r>
          </w:p>
        </w:tc>
        <w:tc>
          <w:tcPr>
            <w:tcW w:w="5812"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nie będą przekazywane do państw trzecich ani organizacji międzynarodowych</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7</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Okres przechowywania danych osobowych</w:t>
            </w:r>
          </w:p>
        </w:tc>
        <w:tc>
          <w:tcPr>
            <w:tcW w:w="5812"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Zapisy z monitoringu są przechowywane maksymalnie przez okres 7 dni. Po tym okresie zarejestrowane dane zostają automatycznie nadpisywane, tj. całkowicie i bezpowrotnie niszczone, z wyjątkiem sytuacji gdy nagrania stanowią dowód na potrzeby przyszłego postępowania.</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8</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Prawo dostępu do danych osobowych </w:t>
              <w:br/>
              <w:t>i ich sprostowania</w:t>
            </w:r>
          </w:p>
        </w:tc>
        <w:tc>
          <w:tcPr>
            <w:tcW w:w="5812"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od ADO dostępu do danych osobowych, które was dotyczą jak również do ich sprostowania lub uzupełnienia w sytuacji, w której będą one niepełne lub nieprawidłowe.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9</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usunięcia danych osobowych</w:t>
            </w:r>
          </w:p>
        </w:tc>
        <w:tc>
          <w:tcPr>
            <w:tcW w:w="5812"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aby ADO usunął dane osobowe, które was dotyczą, przy czym w sytuacji, w której ich przetwarzanie będzie oparte o przesłanki inne aniżeli zgoda na ich przetwarzanie to prawo nie będzie mogło zostać skutecznie wykonane.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10</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wniesienia sprzeciwu</w:t>
            </w:r>
          </w:p>
        </w:tc>
        <w:tc>
          <w:tcPr>
            <w:tcW w:w="5812"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Macie Państwo prawo wnieść sprzeciw wobec przetwarzania danych osobowych, które Państwa dotyczą, przy czym prawo to nie będzie mogło zostać skutecznie wykonane jeżeli ADO wykaże istnienie ważnych prawnie uzasadnionych podstaw do przetwarzania, nadrzędnych wobec Państwa  interesów, praw </w:t>
              <w:br/>
              <w:t>i wolności, lub podstaw do ustalenia, dochodzenia lub obrony roszczeń.</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11</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przenoszenia danych osobowych</w:t>
            </w:r>
          </w:p>
        </w:tc>
        <w:tc>
          <w:tcPr>
            <w:tcW w:w="5812"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otrzymać w ustrukturyzowanym, powszechnie używanym formacie nadającym się do odczytu maszynowego dane osobowe, które Państwa dotyczą, a które to dostarczyliście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również prawo przesłać te dane osobowe innemu administratorowi bez przeszkód ze strony ADO. Jeżeli jest to technicznie możliwe macie Państwo również prawo żądać, aby ADO przesłał wskazane dane osobowe innemu administratorowi bezpośrednio.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12</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ograniczenia przetwarzania danych osobowych</w:t>
            </w:r>
          </w:p>
        </w:tc>
        <w:tc>
          <w:tcPr>
            <w:tcW w:w="5812"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Informujemy, że macie Państwo prawo do żądania od ADO ograniczenia przetwarzania Państwa danych osobowych </w:t>
              <w:br/>
              <w:t>w następujących przypadkach:</w:t>
            </w:r>
          </w:p>
          <w:p>
            <w:pPr>
              <w:pStyle w:val="Normal"/>
              <w:widowControl/>
              <w:numPr>
                <w:ilvl w:val="0"/>
                <w:numId w:val="2"/>
              </w:numPr>
              <w:spacing w:before="0" w:after="0"/>
              <w:contextualSpacing/>
              <w:rPr>
                <w:rFonts w:ascii="Arial" w:hAnsi="Arial" w:cs="Arial"/>
                <w:sz w:val="18"/>
                <w:szCs w:val="18"/>
              </w:rPr>
            </w:pPr>
            <w:r>
              <w:rPr>
                <w:rFonts w:eastAsia="Calibri" w:cs="Arial" w:ascii="Arial" w:hAnsi="Arial"/>
                <w:kern w:val="0"/>
                <w:sz w:val="18"/>
                <w:szCs w:val="18"/>
                <w:lang w:val="pl-PL" w:bidi="ar-SA"/>
              </w:rPr>
              <w:t>gdy kwestionujecie Państwo prawidłowość danych osobowych - na okres pozwalający administratorowi sprawdzić prawidłowość tych danych;</w:t>
            </w:r>
          </w:p>
          <w:p>
            <w:pPr>
              <w:pStyle w:val="Normal"/>
              <w:widowControl/>
              <w:numPr>
                <w:ilvl w:val="0"/>
                <w:numId w:val="2"/>
              </w:numPr>
              <w:spacing w:before="0" w:after="0"/>
              <w:contextualSpacing/>
              <w:rPr>
                <w:rFonts w:ascii="Arial" w:hAnsi="Arial" w:cs="Arial"/>
                <w:sz w:val="18"/>
                <w:szCs w:val="18"/>
              </w:rPr>
            </w:pPr>
            <w:r>
              <w:rPr>
                <w:rFonts w:eastAsia="Calibri" w:cs="Arial" w:ascii="Arial" w:hAnsi="Arial"/>
                <w:kern w:val="0"/>
                <w:sz w:val="18"/>
                <w:szCs w:val="18"/>
                <w:lang w:val="pl-PL" w:bidi="ar-SA"/>
              </w:rPr>
              <w:t xml:space="preserve">gdy przetwarzanie danych jest niezgodne z prawem, </w:t>
              <w:br/>
              <w:t>a Państwo, sprzeciwicie się usunięciu danych osobowych, żądając w zamian ograniczenia ich wykorzystywania;</w:t>
            </w:r>
          </w:p>
          <w:p>
            <w:pPr>
              <w:pStyle w:val="Normal"/>
              <w:widowControl/>
              <w:numPr>
                <w:ilvl w:val="0"/>
                <w:numId w:val="2"/>
              </w:numPr>
              <w:spacing w:before="0" w:after="0"/>
              <w:contextualSpacing/>
              <w:rPr>
                <w:rFonts w:ascii="Arial" w:hAnsi="Arial" w:cs="Arial"/>
                <w:sz w:val="18"/>
                <w:szCs w:val="18"/>
              </w:rPr>
            </w:pPr>
            <w:r>
              <w:rPr>
                <w:rFonts w:eastAsia="Calibri" w:cs="Arial" w:ascii="Arial" w:hAnsi="Arial"/>
                <w:kern w:val="0"/>
                <w:sz w:val="18"/>
                <w:szCs w:val="18"/>
                <w:lang w:val="pl-PL" w:bidi="ar-SA"/>
              </w:rPr>
              <w:t>gdy ADO nie potrzebuje już danych osobowych do celów przetwarzania, ale są one potrzebne Państwu, do ustalenia, dochodzenia lub obrony roszczeń;</w:t>
            </w:r>
          </w:p>
          <w:p>
            <w:pPr>
              <w:pStyle w:val="Normal"/>
              <w:widowControl/>
              <w:numPr>
                <w:ilvl w:val="0"/>
                <w:numId w:val="2"/>
              </w:numPr>
              <w:spacing w:before="0" w:after="0"/>
              <w:contextualSpacing/>
              <w:rPr>
                <w:rFonts w:ascii="Arial" w:hAnsi="Arial" w:cs="Arial"/>
                <w:i/>
                <w:i/>
                <w:sz w:val="18"/>
                <w:szCs w:val="18"/>
              </w:rPr>
            </w:pPr>
            <w:r>
              <w:rPr>
                <w:rFonts w:eastAsia="Calibri" w:cs="Arial" w:ascii="Arial" w:hAnsi="Arial"/>
                <w:kern w:val="0"/>
                <w:sz w:val="18"/>
                <w:szCs w:val="18"/>
                <w:lang w:val="pl-PL" w:bidi="ar-SA"/>
              </w:rPr>
              <w:t xml:space="preserve">gdy wniosą Państwo sprzeciw wobec przetwarzania danych osobowych - do czasu stwierdzenia, czy prawnie uzasadnione podstawy po stronie ADO są nadrzędne wobec podstaw Państwa sprzeciwu, za wyjątkiem sprzeciwu wobec działań marketingu bezpośredniego, co do którego sprzeciw Państwa jest bezwzględnie skuteczny. </w:t>
            </w:r>
          </w:p>
        </w:tc>
      </w:tr>
    </w:tbl>
    <w:p>
      <w:pPr>
        <w:pStyle w:val="Normal"/>
        <w:spacing w:lineRule="auto" w:line="276" w:before="0" w:after="120"/>
        <w:rPr>
          <w:rFonts w:ascii="Arial" w:hAnsi="Arial" w:cs="Arial"/>
          <w:b/>
          <w:b/>
          <w:sz w:val="18"/>
          <w:szCs w:val="18"/>
        </w:rPr>
      </w:pPr>
      <w:r>
        <w:rPr>
          <w:rFonts w:cs="Arial" w:ascii="Arial" w:hAnsi="Arial"/>
          <w:b/>
          <w:sz w:val="18"/>
          <w:szCs w:val="18"/>
        </w:rPr>
      </w:r>
    </w:p>
    <w:p>
      <w:pPr>
        <w:pStyle w:val="Normal"/>
        <w:tabs>
          <w:tab w:val="clear" w:pos="708"/>
          <w:tab w:val="center" w:pos="4536" w:leader="none"/>
          <w:tab w:val="right" w:pos="9072" w:leader="none"/>
        </w:tabs>
        <w:rPr>
          <w:rFonts w:ascii="Arial" w:hAnsi="Arial" w:cs="Arial"/>
          <w:i/>
          <w:i/>
          <w:iCs/>
          <w:sz w:val="18"/>
          <w:szCs w:val="18"/>
        </w:rPr>
      </w:pPr>
      <w:r>
        <w:rPr/>
      </w:r>
    </w:p>
    <w:sectPr>
      <w:headerReference w:type="default" r:id="rId2"/>
      <w:footerReference w:type="default" r:id="rId3"/>
      <w:type w:val="nextPage"/>
      <w:pgSz w:w="11906" w:h="16838"/>
      <w:pgMar w:left="1417" w:right="1417" w:header="568" w:top="1417" w:footer="517"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Tahoma">
    <w:charset w:val="ee"/>
    <w:family w:val="roman"/>
    <w:pitch w:val="variable"/>
  </w:font>
  <w:font w:name="Liberation Sans">
    <w:altName w:val="Arial"/>
    <w:charset w:val="ee"/>
    <w:family w:val="swiss"/>
    <w:pitch w:val="variable"/>
  </w:font>
  <w:font w:name="Times New Roman">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pBdr>
        <w:bottom w:val="single" w:sz="6" w:space="1" w:color="000000"/>
      </w:pBdr>
      <w:tabs>
        <w:tab w:val="clear" w:pos="708"/>
        <w:tab w:val="left" w:pos="2835" w:leader="none"/>
        <w:tab w:val="center" w:pos="4536" w:leader="none"/>
      </w:tabs>
      <w:jc w:val="left"/>
      <w:rPr>
        <w:rFonts w:ascii="Arial" w:hAnsi="Arial" w:cs="Arial"/>
        <w:color w:val="000000"/>
        <w:sz w:val="16"/>
        <w:szCs w:val="16"/>
      </w:rPr>
    </w:pPr>
    <w:r>
      <w:rPr>
        <w:rFonts w:cs="Arial" w:ascii="Arial" w:hAnsi="Arial"/>
        <w:color w:val="000000"/>
        <w:sz w:val="16"/>
        <w:szCs w:val="16"/>
      </w:rPr>
    </w:r>
  </w:p>
  <w:p>
    <w:pPr>
      <w:pStyle w:val="Normal"/>
      <w:tabs>
        <w:tab w:val="clear" w:pos="708"/>
        <w:tab w:val="left" w:pos="2835" w:leader="none"/>
        <w:tab w:val="center" w:pos="4536" w:leader="none"/>
      </w:tabs>
      <w:jc w:val="left"/>
      <w:rPr>
        <w:rFonts w:ascii="Arial" w:hAnsi="Arial" w:cs="Arial"/>
        <w:color w:val="000000"/>
        <w:sz w:val="16"/>
        <w:szCs w:val="16"/>
      </w:rPr>
    </w:pPr>
    <w:r>
      <w:rPr/>
      <mc:AlternateContent>
        <mc:Choice Requires="wps">
          <w:drawing>
            <wp:anchor behindDoc="1" distT="0" distB="0" distL="0" distR="0" simplePos="0" locked="0" layoutInCell="0" allowOverlap="1" relativeHeight="13" wp14:anchorId="39467CE8">
              <wp:simplePos x="0" y="0"/>
              <wp:positionH relativeFrom="column">
                <wp:posOffset>2272030</wp:posOffset>
              </wp:positionH>
              <wp:positionV relativeFrom="paragraph">
                <wp:posOffset>107315</wp:posOffset>
              </wp:positionV>
              <wp:extent cx="3039110" cy="591185"/>
              <wp:effectExtent l="5080" t="12065" r="13970" b="6985"/>
              <wp:wrapNone/>
              <wp:docPr id="4" name="Text Box 3"/>
              <a:graphic xmlns:a="http://schemas.openxmlformats.org/drawingml/2006/main">
                <a:graphicData uri="http://schemas.microsoft.com/office/word/2010/wordprocessingShape">
                  <wps:wsp>
                    <wps:cNvSpPr/>
                    <wps:spPr>
                      <a:xfrm>
                        <a:off x="0" y="0"/>
                        <a:ext cx="3038400" cy="590400"/>
                      </a:xfrm>
                      <a:prstGeom prst="rect">
                        <a:avLst/>
                      </a:prstGeom>
                      <a:solidFill>
                        <a:srgbClr val="ffffff"/>
                      </a:solidFill>
                      <a:ln w="9525">
                        <a:solidFill>
                          <a:srgbClr val="ffffff"/>
                        </a:solidFill>
                        <a:miter/>
                      </a:ln>
                    </wps:spPr>
                    <wps:style>
                      <a:lnRef idx="0"/>
                      <a:fillRef idx="0"/>
                      <a:effectRef idx="0"/>
                      <a:fontRef idx="minor"/>
                    </wps:style>
                    <wps:txb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1">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wps:txbx>
                    <wps:bodyPr>
                      <a:noAutofit/>
                    </wps:bodyPr>
                  </wps:wsp>
                </a:graphicData>
              </a:graphic>
            </wp:anchor>
          </w:drawing>
        </mc:Choice>
        <mc:Fallback>
          <w:pict>
            <v:rect id="shape_0" ID="Text Box 3" fillcolor="white" stroked="t" style="position:absolute;margin-left:178.9pt;margin-top:8.45pt;width:239.2pt;height:46.45pt;mso-wrap-style:square;v-text-anchor:top" wp14:anchorId="39467CE8">
              <v:fill o:detectmouseclick="t" type="solid" color2="black"/>
              <v:stroke color="white" weight="9360" joinstyle="miter" endcap="flat"/>
              <v:textbo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2">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v:textbox>
              <w10:wrap type="none"/>
            </v:rect>
          </w:pict>
        </mc:Fallback>
      </mc:AlternateContent>
      <w:drawing>
        <wp:inline distT="0" distB="0" distL="0" distR="0">
          <wp:extent cx="2181225" cy="876300"/>
          <wp:effectExtent l="0" t="0" r="0" b="0"/>
          <wp:docPr id="6" name="Obraz 2" descr="wss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2" descr="wss400"/>
                  <pic:cNvPicPr>
                    <a:picLocks noChangeAspect="1" noChangeArrowheads="1"/>
                  </pic:cNvPicPr>
                </pic:nvPicPr>
                <pic:blipFill>
                  <a:blip r:embed="rId3"/>
                  <a:stretch>
                    <a:fillRect/>
                  </a:stretch>
                </pic:blipFill>
                <pic:spPr bwMode="auto">
                  <a:xfrm>
                    <a:off x="0" y="0"/>
                    <a:ext cx="2181225" cy="876300"/>
                  </a:xfrm>
                  <a:prstGeom prst="rect">
                    <a:avLst/>
                  </a:prstGeom>
                </pic:spPr>
              </pic:pic>
            </a:graphicData>
          </a:graphic>
        </wp:inline>
      </w:drawing>
    </w:r>
  </w:p>
  <w:p>
    <w:pPr>
      <w:pStyle w:val="Normal"/>
      <w:jc w:val="right"/>
      <w:rPr>
        <w:rFonts w:ascii="Arial" w:hAnsi="Arial" w:cs="Arial"/>
        <w:color w:val="000000"/>
      </w:rPr>
    </w:pPr>
    <w:r>
      <w:rPr>
        <w:rFonts w:cs="Arial" w:ascii="Arial" w:hAnsi="Arial"/>
      </w:rPr>
      <w:t xml:space="preserve">Strona </w:t>
    </w:r>
    <w:r>
      <w:rPr>
        <w:rFonts w:cs="Arial" w:ascii="Arial" w:hAnsi="Arial"/>
      </w:rPr>
      <w:fldChar w:fldCharType="begin"/>
    </w:r>
    <w:r>
      <w:rPr>
        <w:rFonts w:cs="Arial" w:ascii="Arial" w:hAnsi="Arial"/>
      </w:rPr>
      <w:instrText> PAGE </w:instrText>
    </w:r>
    <w:r>
      <w:rPr>
        <w:rFonts w:cs="Arial" w:ascii="Arial" w:hAnsi="Arial"/>
      </w:rPr>
      <w:fldChar w:fldCharType="separate"/>
    </w:r>
    <w:r>
      <w:rPr>
        <w:rFonts w:cs="Arial" w:ascii="Arial" w:hAnsi="Arial"/>
      </w:rPr>
      <w:t>3</w:t>
    </w:r>
    <w:r>
      <w:rPr>
        <w:rFonts w:cs="Arial" w:ascii="Arial" w:hAnsi="Arial"/>
      </w:rPr>
      <w:fldChar w:fldCharType="end"/>
    </w:r>
    <w:r>
      <w:rPr>
        <w:rFonts w:cs="Arial" w:ascii="Arial" w:hAnsi="Arial"/>
      </w:rPr>
      <w:t xml:space="preserve"> z </w:t>
    </w:r>
    <w:r>
      <w:rPr>
        <w:rFonts w:cs="Arial" w:ascii="Arial" w:hAnsi="Arial"/>
      </w:rPr>
      <w:fldChar w:fldCharType="begin"/>
    </w:r>
    <w:r>
      <w:rPr>
        <w:rFonts w:cs="Arial" w:ascii="Arial" w:hAnsi="Arial"/>
      </w:rPr>
      <w:instrText> NUMPAGES </w:instrText>
    </w:r>
    <w:r>
      <w:rPr>
        <w:rFonts w:cs="Arial" w:ascii="Arial" w:hAnsi="Arial"/>
      </w:rPr>
      <w:fldChar w:fldCharType="separate"/>
    </w:r>
    <w:r>
      <w:rPr>
        <w:rFonts w:cs="Arial" w:ascii="Arial" w:hAnsi="Arial"/>
      </w:rPr>
      <w:t>3</w:t>
    </w:r>
    <w:r>
      <w:rPr>
        <w:rFonts w:cs="Arial"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sz w:val="12"/>
        <w:szCs w:val="12"/>
      </w:rPr>
    </w:pPr>
    <w:r>
      <w:rPr/>
      <mc:AlternateContent>
        <mc:Choice Requires="wps">
          <w:drawing>
            <wp:anchor behindDoc="1" distT="0" distB="0" distL="0" distR="0" simplePos="0" locked="0" layoutInCell="0" allowOverlap="1" relativeHeight="10" wp14:anchorId="2350B628">
              <wp:simplePos x="0" y="0"/>
              <wp:positionH relativeFrom="column">
                <wp:posOffset>801370</wp:posOffset>
              </wp:positionH>
              <wp:positionV relativeFrom="paragraph">
                <wp:posOffset>83820</wp:posOffset>
              </wp:positionV>
              <wp:extent cx="5005070" cy="559435"/>
              <wp:effectExtent l="1270" t="0" r="4445" b="0"/>
              <wp:wrapNone/>
              <wp:docPr id="1" name="Text Box 2"/>
              <a:graphic xmlns:a="http://schemas.openxmlformats.org/drawingml/2006/main">
                <a:graphicData uri="http://schemas.microsoft.com/office/word/2010/wordprocessingShape">
                  <wps:wsp>
                    <wps:cNvSpPr/>
                    <wps:spPr>
                      <a:xfrm>
                        <a:off x="0" y="0"/>
                        <a:ext cx="5004360" cy="558720"/>
                      </a:xfrm>
                      <a:prstGeom prst="rect">
                        <a:avLst/>
                      </a:prstGeom>
                      <a:solidFill>
                        <a:srgbClr val="ffffff"/>
                      </a:solidFill>
                      <a:ln w="0">
                        <a:noFill/>
                      </a:ln>
                    </wps:spPr>
                    <wps:style>
                      <a:lnRef idx="0"/>
                      <a:fillRef idx="0"/>
                      <a:effectRef idx="0"/>
                      <a:fontRef idx="minor"/>
                    </wps:style>
                    <wps:txb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wps:txbx>
                    <wps:bodyPr>
                      <a:noAutofit/>
                    </wps:bodyPr>
                  </wps:wsp>
                </a:graphicData>
              </a:graphic>
            </wp:anchor>
          </w:drawing>
        </mc:Choice>
        <mc:Fallback>
          <w:pict>
            <v:rect id="shape_0" ID="Text Box 2" fillcolor="white" stroked="f" style="position:absolute;margin-left:63.1pt;margin-top:6.6pt;width:394pt;height:43.95pt;mso-wrap-style:square;v-text-anchor:top" wp14:anchorId="2350B628">
              <v:fill o:detectmouseclick="t" type="solid" color2="black"/>
              <v:stroke color="#3465a4" joinstyle="round" endcap="flat"/>
              <v:textbo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v:textbox>
              <w10:wrap type="none"/>
            </v:rect>
          </w:pict>
        </mc:Fallback>
      </mc:AlternateContent>
      <w:drawing>
        <wp:inline distT="0" distB="0" distL="0" distR="0">
          <wp:extent cx="876300" cy="714375"/>
          <wp:effectExtent l="0" t="0" r="0" b="0"/>
          <wp:docPr id="3" name="Obraz 22" descr="C:\Users\Dell\AppData\Local\Microsoft\Windows\INetCache\Content.Word\mod_na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2" descr="C:\Users\Dell\AppData\Local\Microsoft\Windows\INetCache\Content.Word\mod_nagl.png"/>
                  <pic:cNvPicPr>
                    <a:picLocks noChangeAspect="1" noChangeArrowheads="1"/>
                  </pic:cNvPicPr>
                </pic:nvPicPr>
                <pic:blipFill>
                  <a:blip r:embed="rId1"/>
                  <a:stretch>
                    <a:fillRect/>
                  </a:stretch>
                </pic:blipFill>
                <pic:spPr bwMode="auto">
                  <a:xfrm>
                    <a:off x="0" y="0"/>
                    <a:ext cx="876300" cy="714375"/>
                  </a:xfrm>
                  <a:prstGeom prst="rect">
                    <a:avLst/>
                  </a:prstGeom>
                </pic:spPr>
              </pic:pic>
            </a:graphicData>
          </a:graphic>
        </wp:inline>
      </w:drawing>
    </w:r>
  </w:p>
  <w:p>
    <w:pPr>
      <w:pStyle w:val="Gwka"/>
      <w:pBdr>
        <w:top w:val="single" w:sz="4" w:space="1" w:color="000000"/>
      </w:pBd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lvl w:ilvl="0">
      <w:start w:val="1"/>
      <w:numFmt w:val="lowerLetter"/>
      <w:lvlText w:val="%1)"/>
      <w:lvlJc w:val="left"/>
      <w:pPr>
        <w:tabs>
          <w:tab w:val="num" w:pos="0"/>
        </w:tabs>
        <w:ind w:left="360" w:hanging="360"/>
      </w:pPr>
      <w:rPr>
        <w:i w:val="fals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0"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1fd9"/>
    <w:pPr>
      <w:widowControl/>
      <w:bidi w:val="0"/>
      <w:spacing w:before="0" w:after="0"/>
      <w:jc w:val="both"/>
    </w:pPr>
    <w:rPr>
      <w:rFonts w:ascii="Calibri" w:hAnsi="Calibri" w:eastAsia="Calibri" w:cs="Times New Roman"/>
      <w:color w:val="auto"/>
      <w:kern w:val="0"/>
      <w:sz w:val="22"/>
      <w:szCs w:val="22"/>
      <w:lang w:eastAsia="en-US" w:val="pl-PL" w:bidi="ar-SA"/>
    </w:rPr>
  </w:style>
  <w:style w:type="paragraph" w:styleId="Nagwek2">
    <w:name w:val="Heading 2"/>
    <w:next w:val="Normal"/>
    <w:link w:val="Nagwek2Znak"/>
    <w:uiPriority w:val="9"/>
    <w:unhideWhenUsed/>
    <w:qFormat/>
    <w:rsid w:val="00ba36ab"/>
    <w:pPr>
      <w:keepNext w:val="true"/>
      <w:keepLines/>
      <w:widowControl/>
      <w:bidi w:val="0"/>
      <w:spacing w:lineRule="auto" w:line="259" w:before="0" w:after="110"/>
      <w:ind w:left="10" w:right="210" w:hanging="10"/>
      <w:jc w:val="right"/>
      <w:outlineLvl w:val="1"/>
    </w:pPr>
    <w:rPr>
      <w:rFonts w:ascii="Arial" w:hAnsi="Arial" w:eastAsia="Arial" w:cs="Arial"/>
      <w:color w:val="000000"/>
      <w:kern w:val="0"/>
      <w:sz w:val="20"/>
      <w:szCs w:val="22"/>
      <w:lang w:val="pl-PL" w:eastAsia="pl-PL"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link w:val="Nagwek"/>
    <w:uiPriority w:val="99"/>
    <w:qFormat/>
    <w:rsid w:val="00ce22ed"/>
    <w:rPr/>
  </w:style>
  <w:style w:type="character" w:styleId="StopkaZnak" w:customStyle="1">
    <w:name w:val="Stopka Znak"/>
    <w:basedOn w:val="DefaultParagraphFont"/>
    <w:link w:val="Stopka"/>
    <w:uiPriority w:val="99"/>
    <w:qFormat/>
    <w:rsid w:val="00ce22ed"/>
    <w:rPr/>
  </w:style>
  <w:style w:type="character" w:styleId="TekstdymkaZnak" w:customStyle="1">
    <w:name w:val="Tekst dymka Znak"/>
    <w:link w:val="Tekstdymka"/>
    <w:uiPriority w:val="99"/>
    <w:semiHidden/>
    <w:qFormat/>
    <w:rsid w:val="00ce22ed"/>
    <w:rPr>
      <w:rFonts w:ascii="Tahoma" w:hAnsi="Tahoma" w:cs="Tahoma"/>
      <w:sz w:val="16"/>
      <w:szCs w:val="16"/>
    </w:rPr>
  </w:style>
  <w:style w:type="character" w:styleId="Czeinternetowe">
    <w:name w:val="Łącze internetowe"/>
    <w:uiPriority w:val="99"/>
    <w:unhideWhenUsed/>
    <w:rsid w:val="00e762c5"/>
    <w:rPr>
      <w:color w:val="0000FF"/>
      <w:u w:val="single"/>
    </w:rPr>
  </w:style>
  <w:style w:type="character" w:styleId="PodpisZnak" w:customStyle="1">
    <w:name w:val="Podpis Znak"/>
    <w:link w:val="Podpis"/>
    <w:qFormat/>
    <w:rsid w:val="00644108"/>
    <w:rPr>
      <w:rFonts w:eastAsia="Lucida Sans Unicode" w:cs="Mangal"/>
      <w:i/>
      <w:iCs/>
      <w:sz w:val="24"/>
      <w:szCs w:val="24"/>
    </w:rPr>
  </w:style>
  <w:style w:type="character" w:styleId="TekstprzypisukocowegoZnak" w:customStyle="1">
    <w:name w:val="Tekst przypisu końcowego Znak"/>
    <w:basedOn w:val="DefaultParagraphFont"/>
    <w:link w:val="Tekstprzypisukocowego"/>
    <w:uiPriority w:val="99"/>
    <w:semiHidden/>
    <w:qFormat/>
    <w:rsid w:val="009231cd"/>
    <w:rPr>
      <w:lang w:eastAsia="en-US"/>
    </w:rPr>
  </w:style>
  <w:style w:type="character" w:styleId="Zakotwiczenieprzypisukocowego">
    <w:name w:val="Zakotwiczenie przypisu końcowego"/>
    <w:rPr>
      <w:vertAlign w:val="superscript"/>
    </w:rPr>
  </w:style>
  <w:style w:type="character" w:styleId="EndnoteCharacters">
    <w:name w:val="Endnote Characters"/>
    <w:basedOn w:val="DefaultParagraphFont"/>
    <w:uiPriority w:val="99"/>
    <w:semiHidden/>
    <w:unhideWhenUsed/>
    <w:qFormat/>
    <w:rsid w:val="009231cd"/>
    <w:rPr>
      <w:vertAlign w:val="superscript"/>
    </w:rPr>
  </w:style>
  <w:style w:type="character" w:styleId="UnresolvedMention">
    <w:name w:val="Unresolved Mention"/>
    <w:basedOn w:val="DefaultParagraphFont"/>
    <w:uiPriority w:val="99"/>
    <w:semiHidden/>
    <w:unhideWhenUsed/>
    <w:qFormat/>
    <w:rsid w:val="004f455f"/>
    <w:rPr>
      <w:color w:val="605E5C"/>
      <w:shd w:fill="E1DFDD" w:val="clear"/>
    </w:rPr>
  </w:style>
  <w:style w:type="character" w:styleId="Nagwek2Znak" w:customStyle="1">
    <w:name w:val="Nagłówek 2 Znak"/>
    <w:basedOn w:val="DefaultParagraphFont"/>
    <w:link w:val="Nagwek2"/>
    <w:qFormat/>
    <w:rsid w:val="00ba36ab"/>
    <w:rPr>
      <w:rFonts w:ascii="Arial" w:hAnsi="Arial" w:eastAsia="Arial" w:cs="Arial"/>
      <w:color w:val="000000"/>
      <w:szCs w:val="22"/>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Domylnie"/>
    <w:link w:val="PodpisZnak"/>
    <w:qFormat/>
    <w:rsid w:val="00644108"/>
    <w:pPr>
      <w:suppressLineNumbers/>
      <w:spacing w:before="120" w:after="120"/>
    </w:pPr>
    <w:rPr>
      <w:rFonts w:cs="Mangal"/>
      <w:i/>
      <w:iCs/>
      <w:sz w:val="24"/>
      <w:szCs w:val="24"/>
    </w:rPr>
  </w:style>
  <w:style w:type="paragraph" w:styleId="Indeks">
    <w:name w:val="Indeks"/>
    <w:basedOn w:val="Normal"/>
    <w:qFormat/>
    <w:pPr>
      <w:suppressLineNumbers/>
    </w:pPr>
    <w:rPr>
      <w:rFonts w:cs="Lucida Sans"/>
    </w:rPr>
  </w:style>
  <w:style w:type="paragraph" w:styleId="Gwkaistopka">
    <w:name w:val="Główka i stopka"/>
    <w:basedOn w:val="Normal"/>
    <w:qFormat/>
    <w:pPr/>
    <w:rPr/>
  </w:style>
  <w:style w:type="paragraph" w:styleId="Gwka">
    <w:name w:val="Header"/>
    <w:basedOn w:val="Normal"/>
    <w:link w:val="NagwekZnak"/>
    <w:uiPriority w:val="99"/>
    <w:unhideWhenUsed/>
    <w:rsid w:val="00ce22ed"/>
    <w:pPr>
      <w:tabs>
        <w:tab w:val="clear" w:pos="708"/>
        <w:tab w:val="center" w:pos="4536" w:leader="none"/>
        <w:tab w:val="right" w:pos="9072" w:leader="none"/>
      </w:tabs>
    </w:pPr>
    <w:rPr/>
  </w:style>
  <w:style w:type="paragraph" w:styleId="Stopka">
    <w:name w:val="Footer"/>
    <w:basedOn w:val="Normal"/>
    <w:link w:val="StopkaZnak"/>
    <w:uiPriority w:val="99"/>
    <w:unhideWhenUsed/>
    <w:rsid w:val="00ce22ed"/>
    <w:pPr>
      <w:tabs>
        <w:tab w:val="clear" w:pos="708"/>
        <w:tab w:val="center" w:pos="4536" w:leader="none"/>
        <w:tab w:val="right" w:pos="9072" w:leader="none"/>
      </w:tabs>
    </w:pPr>
    <w:rPr/>
  </w:style>
  <w:style w:type="paragraph" w:styleId="BalloonText">
    <w:name w:val="Balloon Text"/>
    <w:basedOn w:val="Normal"/>
    <w:link w:val="TekstdymkaZnak"/>
    <w:uiPriority w:val="99"/>
    <w:semiHidden/>
    <w:unhideWhenUsed/>
    <w:qFormat/>
    <w:rsid w:val="00ce22ed"/>
    <w:pPr/>
    <w:rPr>
      <w:rFonts w:ascii="Tahoma" w:hAnsi="Tahoma" w:cs="Tahoma"/>
      <w:sz w:val="16"/>
      <w:szCs w:val="16"/>
    </w:rPr>
  </w:style>
  <w:style w:type="paragraph" w:styleId="Domylnie" w:customStyle="1">
    <w:name w:val="Domyślnie"/>
    <w:qFormat/>
    <w:rsid w:val="0023583f"/>
    <w:pPr>
      <w:widowControl/>
      <w:tabs>
        <w:tab w:val="left" w:pos="708" w:leader="none"/>
      </w:tabs>
      <w:suppressAutoHyphens w:val="true"/>
      <w:bidi w:val="0"/>
      <w:spacing w:lineRule="auto" w:line="276" w:before="0" w:after="200"/>
      <w:jc w:val="left"/>
    </w:pPr>
    <w:rPr>
      <w:rFonts w:eastAsia="Lucida Sans Unicode" w:ascii="Calibri" w:hAnsi="Calibri" w:cs="Times New Roman"/>
      <w:color w:val="auto"/>
      <w:kern w:val="0"/>
      <w:sz w:val="22"/>
      <w:szCs w:val="22"/>
      <w:lang w:val="pl-PL" w:eastAsia="pl-PL" w:bidi="ar-SA"/>
    </w:rPr>
  </w:style>
  <w:style w:type="paragraph" w:styleId="NormalWeb">
    <w:name w:val="Normal (Web)"/>
    <w:basedOn w:val="Domylnie"/>
    <w:qFormat/>
    <w:rsid w:val="00f66418"/>
    <w:pPr>
      <w:spacing w:lineRule="atLeast" w:line="100" w:before="28" w:after="28"/>
    </w:pPr>
    <w:rPr>
      <w:rFonts w:ascii="Times New Roman" w:hAnsi="Times New Roman" w:eastAsia="Times New Roman"/>
      <w:sz w:val="24"/>
      <w:szCs w:val="24"/>
    </w:rPr>
  </w:style>
  <w:style w:type="paragraph" w:styleId="Przypiskocowy">
    <w:name w:val="Endnote Text"/>
    <w:basedOn w:val="Normal"/>
    <w:link w:val="TekstprzypisukocowegoZnak"/>
    <w:uiPriority w:val="99"/>
    <w:semiHidden/>
    <w:unhideWhenUsed/>
    <w:rsid w:val="009231cd"/>
    <w:pPr/>
    <w:rPr>
      <w:sz w:val="20"/>
      <w:szCs w:val="20"/>
    </w:rPr>
  </w:style>
  <w:style w:type="paragraph" w:styleId="ListParagraph">
    <w:name w:val="List Paragraph"/>
    <w:basedOn w:val="Normal"/>
    <w:uiPriority w:val="34"/>
    <w:qFormat/>
    <w:rsid w:val="009231cd"/>
    <w:pPr>
      <w:spacing w:before="0" w:after="0"/>
      <w:ind w:left="720" w:hanging="0"/>
      <w:contextualSpacing/>
    </w:pPr>
    <w:rPr/>
  </w:style>
  <w:style w:type="paragraph" w:styleId="Zawartoramki">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ela-Siatka1">
    <w:name w:val="Tabela - Siatka1"/>
    <w:basedOn w:val="Standardowy"/>
    <w:uiPriority w:val="39"/>
    <w:rsid w:val="00a843b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
    <w:name w:val="Table Grid"/>
    <w:basedOn w:val="Standardowy"/>
    <w:uiPriority w:val="59"/>
    <w:rsid w:val="00a843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2">
    <w:name w:val="Tabela - Siatka2"/>
    <w:basedOn w:val="Standardowy"/>
    <w:uiPriority w:val="39"/>
    <w:rsid w:val="00a8443f"/>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3">
    <w:name w:val="Tabela - Siatka3"/>
    <w:basedOn w:val="Standardowy"/>
    <w:uiPriority w:val="39"/>
    <w:rsid w:val="0039573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4">
    <w:name w:val="Tabela - Siatka4"/>
    <w:basedOn w:val="Standardowy"/>
    <w:uiPriority w:val="39"/>
    <w:rsid w:val="007a7242"/>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5">
    <w:name w:val="Tabela - Siatka5"/>
    <w:basedOn w:val="Standardowy"/>
    <w:uiPriority w:val="39"/>
    <w:rsid w:val="00ec22f7"/>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6">
    <w:name w:val="Tabela - Siatka6"/>
    <w:basedOn w:val="Standardowy"/>
    <w:uiPriority w:val="39"/>
    <w:rsid w:val="00990c60"/>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7">
    <w:name w:val="Tabela - Siatka7"/>
    <w:basedOn w:val="Standardowy"/>
    <w:uiPriority w:val="39"/>
    <w:rsid w:val="00390f7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zpital.wloclawek.pl/" TargetMode="External"/><Relationship Id="rId2" Type="http://schemas.openxmlformats.org/officeDocument/2006/relationships/hyperlink" Target="http://www.szpital.wloclawek.pl/" TargetMode="External"/><Relationship Id="rId3"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Firmówka</Template>
  <TotalTime>14</TotalTime>
  <Application>LibreOffice/7.0.3.1$Windows_X86_64 LibreOffice_project/d7547858d014d4cf69878db179d326fc3483e082</Application>
  <Pages>3</Pages>
  <Words>1038</Words>
  <Characters>6622</Characters>
  <CharactersWithSpaces>7566</CharactersWithSpaces>
  <Paragraphs>110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2024-05-06T08:30:00Z</dcterms:created>
  <dc:creator>Karolina Welka</dc:creator>
  <dc:description/>
  <dc:language>pl-PL</dc:language>
  <cp:lastModifiedBy/>
  <cp:lastPrinted>2023-08-09T11:44:00Z</cp:lastPrinted>
  <dcterms:modified xsi:type="dcterms:W3CDTF">2024-12-02T10:20:23Z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