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Załącznik Nr 11 do Polityki Ochrony Danych Osobowych</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Karta Informacji o Prawach wolontariusza</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Wersja z dnia 25.04.2024 r.</w:t>
      </w:r>
    </w:p>
    <w:p>
      <w:pPr>
        <w:pStyle w:val="Normal"/>
        <w:spacing w:lineRule="auto" w:line="276" w:before="0" w:after="120"/>
        <w:jc w:val="center"/>
        <w:rPr>
          <w:rFonts w:ascii="Arial" w:hAnsi="Arial" w:cs="Arial"/>
          <w:b/>
          <w:b/>
          <w:sz w:val="20"/>
          <w:szCs w:val="20"/>
        </w:rPr>
      </w:pPr>
      <w:r>
        <w:rPr>
          <w:rFonts w:cs="Arial" w:ascii="Arial" w:hAnsi="Arial"/>
          <w:b/>
          <w:sz w:val="20"/>
          <w:szCs w:val="20"/>
        </w:rPr>
      </w:r>
    </w:p>
    <w:p>
      <w:pPr>
        <w:pStyle w:val="Normal"/>
        <w:spacing w:lineRule="auto" w:line="276" w:before="0" w:after="120"/>
        <w:jc w:val="center"/>
        <w:rPr>
          <w:rFonts w:ascii="Arial" w:hAnsi="Arial" w:cs="Arial"/>
          <w:b/>
          <w:b/>
          <w:sz w:val="18"/>
          <w:szCs w:val="18"/>
        </w:rPr>
      </w:pPr>
      <w:r>
        <w:rPr>
          <w:rFonts w:cs="Arial" w:ascii="Arial" w:hAnsi="Arial"/>
          <w:b/>
          <w:sz w:val="18"/>
          <w:szCs w:val="18"/>
        </w:rPr>
        <w:t>KARTA INFORMACJI O PRAWACH WOLONTARIUSZA</w:t>
      </w:r>
    </w:p>
    <w:p>
      <w:pPr>
        <w:pStyle w:val="Normal"/>
        <w:spacing w:lineRule="auto" w:line="276" w:before="0" w:after="120"/>
        <w:rPr>
          <w:rFonts w:ascii="Arial" w:hAnsi="Arial" w:cs="Arial"/>
          <w:sz w:val="18"/>
          <w:szCs w:val="18"/>
        </w:rPr>
      </w:pPr>
      <w:r>
        <w:rPr>
          <w:rFonts w:cs="Arial" w:ascii="Arial" w:hAnsi="Arial"/>
          <w:sz w:val="18"/>
          <w:szCs w:val="18"/>
        </w:rPr>
      </w:r>
    </w:p>
    <w:p>
      <w:pPr>
        <w:pStyle w:val="Normal"/>
        <w:numPr>
          <w:ilvl w:val="0"/>
          <w:numId w:val="4"/>
        </w:numPr>
        <w:spacing w:lineRule="auto" w:line="276" w:before="0" w:after="120"/>
        <w:ind w:left="426" w:hanging="360"/>
        <w:rPr>
          <w:rFonts w:ascii="Arial" w:hAnsi="Arial" w:cs="Arial"/>
          <w:b/>
          <w:b/>
          <w:sz w:val="18"/>
          <w:szCs w:val="18"/>
        </w:rPr>
      </w:pPr>
      <w:r>
        <w:rPr>
          <w:rFonts w:cs="Arial" w:ascii="Arial" w:hAnsi="Arial"/>
          <w:b/>
          <w:sz w:val="18"/>
          <w:szCs w:val="18"/>
        </w:rPr>
        <w:t>Administrator Danych Osobowych – Dane Kontaktowe</w:t>
        <w:tab/>
        <w:tab/>
        <w:tab/>
        <w:tab/>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Administratorem Danych Osobowych jest Wojewódzki Szpital Specjalistyczny im. błogosławionego księdza Jerzego Popiełuszki we Włocławku.</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Dane kontaktowe ADO są następujące:</w:t>
      </w:r>
    </w:p>
    <w:tbl>
      <w:tblPr>
        <w:tblStyle w:val="Tabela-Siatka"/>
        <w:tblW w:w="8353" w:type="dxa"/>
        <w:jc w:val="left"/>
        <w:tblInd w:w="709" w:type="dxa"/>
        <w:tblLayout w:type="fixed"/>
        <w:tblCellMar>
          <w:top w:w="0" w:type="dxa"/>
          <w:left w:w="108" w:type="dxa"/>
          <w:bottom w:w="0" w:type="dxa"/>
          <w:right w:w="108" w:type="dxa"/>
        </w:tblCellMar>
        <w:tblLook w:firstRow="1" w:noVBand="1" w:lastRow="0" w:firstColumn="1" w:lastColumn="0" w:noHBand="0" w:val="04a0"/>
      </w:tblPr>
      <w:tblGrid>
        <w:gridCol w:w="2120"/>
        <w:gridCol w:w="6232"/>
      </w:tblGrid>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Nazwa:</w:t>
              <w:tab/>
            </w:r>
          </w:p>
        </w:tc>
        <w:tc>
          <w:tcPr>
            <w:tcW w:w="6232"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Wojewódzki Szpital Specjalistyczny im. błogosławionego księdza Jerzego Popiełuszki we Włocławku</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Adres:</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ul. Wieniecka 49, 87-800 Włocławek</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 xml:space="preserve">Dane Rejestrowe: </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KRS: 0000457089, NIP: 888-311-78-73, REGON: 341411727</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Telefon:</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54 412 90 00 (Centrala Telefoniczna)</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Fax:</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54 412 92 95</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E-Mail:</w:t>
              <w:tab/>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sekretariat@szpital.wloclawek.pl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Strona www:</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www.szpital.wloclawek.pl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BIP:</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https://bip.szpital.wloclawek.pl/</w:t>
            </w:r>
          </w:p>
        </w:tc>
      </w:tr>
    </w:tbl>
    <w:p>
      <w:pPr>
        <w:pStyle w:val="Normal"/>
        <w:spacing w:lineRule="auto" w:line="276" w:before="0" w:after="120"/>
        <w:ind w:left="709" w:hanging="0"/>
        <w:rPr>
          <w:rFonts w:ascii="Arial" w:hAnsi="Arial" w:cs="Arial"/>
          <w:sz w:val="18"/>
          <w:szCs w:val="18"/>
        </w:rPr>
      </w:pPr>
      <w:r>
        <w:rPr>
          <w:rFonts w:cs="Arial" w:ascii="Arial" w:hAnsi="Arial"/>
          <w:sz w:val="18"/>
          <w:szCs w:val="18"/>
        </w:rPr>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ADO powołuje Inspektora Ochrony Danych Osobowych (IODO).</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Dane Kontaktowe IODO są następujące:</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 xml:space="preserve">Adres: </w:t>
        <w:tab/>
        <w:tab/>
        <w:t>ul. Wieniecka 49, 87-800 Włocławek</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E-Mail:</w:t>
        <w:tab/>
        <w:tab/>
        <w:t xml:space="preserve"> iodo@szpital.wloclawek.pl</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 xml:space="preserve">ADO przetwarza dane osobowe jako jedyny Administrator. </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W procesie przetwarzania danych osobowych nie przewiduje się występowania Współadministratora Danych Osobowych.</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ADO jest Samodzielnym Publicznym Zakładem Opieki Zdrowotnej, wykonującym działalność leczniczą na zasadach określonych w ustawie z dnia 15 kwietnia 2011r. o działalności leczniczej (Dz.U. z 2018r. poz. 160 z późn. zm.)</w:t>
      </w:r>
    </w:p>
    <w:p>
      <w:pPr>
        <w:pStyle w:val="Normal"/>
        <w:numPr>
          <w:ilvl w:val="0"/>
          <w:numId w:val="4"/>
        </w:numPr>
        <w:spacing w:lineRule="auto" w:line="276" w:before="0" w:after="120"/>
        <w:ind w:left="426" w:hanging="360"/>
        <w:rPr>
          <w:rFonts w:ascii="Arial" w:hAnsi="Arial" w:cs="Arial"/>
          <w:b/>
          <w:b/>
          <w:sz w:val="18"/>
          <w:szCs w:val="18"/>
        </w:rPr>
      </w:pPr>
      <w:r>
        <w:rPr>
          <w:rFonts w:cs="Arial" w:ascii="Arial" w:hAnsi="Arial"/>
          <w:b/>
          <w:sz w:val="18"/>
          <w:szCs w:val="18"/>
        </w:rPr>
        <w:t>Zasady Udzielania Informacji o prawach wolontariusza</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ADO przestrzega praw osób fizycznych w związku z procesem przetwarzania danych osobowych, które ich dotyczą nadto udziela im wymaganych prawem informacji w zakresie tychże praw.</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Katalog praw osób fizycznych w zakresie przetwarzania danych osobowych wraz z ich wyjaśnieniem ujęty został w poniższym zestawieniu tabelarycznym.</w:t>
      </w:r>
    </w:p>
    <w:p>
      <w:pPr>
        <w:pStyle w:val="Normal"/>
        <w:spacing w:lineRule="auto" w:line="276" w:before="0" w:after="120"/>
        <w:rPr>
          <w:rFonts w:ascii="Arial" w:hAnsi="Arial" w:cs="Arial"/>
          <w:sz w:val="18"/>
          <w:szCs w:val="18"/>
        </w:rPr>
      </w:pPr>
      <w:r>
        <w:rPr>
          <w:rFonts w:cs="Arial" w:ascii="Arial" w:hAnsi="Arial"/>
          <w:sz w:val="18"/>
          <w:szCs w:val="18"/>
        </w:rPr>
      </w:r>
    </w:p>
    <w:tbl>
      <w:tblPr>
        <w:tblStyle w:val="Tabela-Siatka6"/>
        <w:tblW w:w="8788" w:type="dxa"/>
        <w:jc w:val="left"/>
        <w:tblInd w:w="279" w:type="dxa"/>
        <w:tblLayout w:type="fixed"/>
        <w:tblCellMar>
          <w:top w:w="0" w:type="dxa"/>
          <w:left w:w="108" w:type="dxa"/>
          <w:bottom w:w="0" w:type="dxa"/>
          <w:right w:w="108" w:type="dxa"/>
        </w:tblCellMar>
        <w:tblLook w:firstRow="1" w:noVBand="1" w:lastRow="0" w:firstColumn="1" w:lastColumn="0" w:noHBand="0" w:val="04a0"/>
      </w:tblPr>
      <w:tblGrid>
        <w:gridCol w:w="709"/>
        <w:gridCol w:w="2408"/>
        <w:gridCol w:w="5671"/>
      </w:tblGrid>
      <w:tr>
        <w:trPr/>
        <w:tc>
          <w:tcPr>
            <w:tcW w:w="709"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L.p.</w:t>
            </w:r>
          </w:p>
        </w:tc>
        <w:tc>
          <w:tcPr>
            <w:tcW w:w="2408"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Prawo osoby fizycznej</w:t>
            </w:r>
          </w:p>
        </w:tc>
        <w:tc>
          <w:tcPr>
            <w:tcW w:w="5671"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Wyjaśnienie</w:t>
            </w:r>
          </w:p>
        </w:tc>
      </w:tr>
      <w:tr>
        <w:trPr/>
        <w:tc>
          <w:tcPr>
            <w:tcW w:w="709"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w:t>
            </w:r>
          </w:p>
        </w:tc>
        <w:tc>
          <w:tcPr>
            <w:tcW w:w="2408"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Tożsamość ADO</w:t>
            </w:r>
          </w:p>
        </w:tc>
        <w:tc>
          <w:tcPr>
            <w:tcW w:w="5671"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Administratorem Danych Osobowych (ADO) względem Państwa danych jest </w:t>
            </w:r>
            <w:r>
              <w:rPr>
                <w:rFonts w:eastAsia="Calibri" w:cs="Arial" w:ascii="Arial" w:hAnsi="Arial"/>
                <w:b/>
                <w:kern w:val="0"/>
                <w:sz w:val="18"/>
                <w:szCs w:val="18"/>
                <w:lang w:val="pl-PL" w:bidi="ar-SA"/>
              </w:rPr>
              <w:t>Wojewódzki Szpital Specjalistyczny im. błogosławionego księdza Jerzego Popiełuszki we Włocławku</w:t>
            </w:r>
            <w:r>
              <w:rPr>
                <w:rFonts w:eastAsia="Calibri" w:cs="Arial" w:ascii="Arial" w:hAnsi="Arial"/>
                <w:kern w:val="0"/>
                <w:sz w:val="18"/>
                <w:szCs w:val="18"/>
                <w:lang w:val="pl-PL" w:bidi="ar-SA"/>
              </w:rPr>
              <w:t>.</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Telefon: 54 412 90 00 (Centrala Telefoniczna)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Fax:</w:t>
              <w:tab/>
              <w:t xml:space="preserve"> 54 412 92 95</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sekretariat@szpital.wloclawek.pl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www.szpital.wloclawek.pl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ramach struktury ADO powołano Inspektora Ochrony Danych Osobowych (IODO)</w:t>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IODO: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Adres: </w:t>
              <w:tab/>
              <w:tab/>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ab/>
              <w:t xml:space="preserve"> iodo@szpital.wloclawek.pl</w:t>
            </w:r>
          </w:p>
        </w:tc>
      </w:tr>
      <w:tr>
        <w:trPr/>
        <w:tc>
          <w:tcPr>
            <w:tcW w:w="709"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2</w:t>
            </w:r>
          </w:p>
        </w:tc>
        <w:tc>
          <w:tcPr>
            <w:tcW w:w="2408"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Cel Przetwarzania Danych Osobowych</w:t>
            </w:r>
          </w:p>
        </w:tc>
        <w:tc>
          <w:tcPr>
            <w:tcW w:w="5671"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są przetwarzane w ściśle określonych celach związanych z działalnością ADO, są to:</w:t>
            </w:r>
          </w:p>
          <w:p>
            <w:pPr>
              <w:pStyle w:val="Normal"/>
              <w:widowControl/>
              <w:numPr>
                <w:ilvl w:val="0"/>
                <w:numId w:val="1"/>
              </w:numPr>
              <w:spacing w:before="0" w:after="0"/>
              <w:contextualSpacing/>
              <w:rPr>
                <w:rFonts w:ascii="Arial" w:hAnsi="Arial" w:cs="Arial"/>
                <w:sz w:val="18"/>
                <w:szCs w:val="18"/>
              </w:rPr>
            </w:pPr>
            <w:r>
              <w:rPr>
                <w:rFonts w:eastAsia="Calibri" w:cs="Arial" w:ascii="Arial" w:hAnsi="Arial"/>
                <w:kern w:val="0"/>
                <w:sz w:val="18"/>
                <w:szCs w:val="18"/>
                <w:lang w:val="pl-PL" w:bidi="ar-SA"/>
              </w:rPr>
              <w:t>Realizacja wolontariatu;</w:t>
            </w:r>
          </w:p>
          <w:p>
            <w:pPr>
              <w:pStyle w:val="Normal"/>
              <w:widowControl/>
              <w:numPr>
                <w:ilvl w:val="0"/>
                <w:numId w:val="1"/>
              </w:numPr>
              <w:spacing w:before="0" w:after="0"/>
              <w:contextualSpacing/>
              <w:rPr>
                <w:rFonts w:ascii="Arial" w:hAnsi="Arial" w:cs="Arial"/>
                <w:sz w:val="18"/>
                <w:szCs w:val="18"/>
              </w:rPr>
            </w:pPr>
            <w:r>
              <w:rPr>
                <w:rFonts w:eastAsia="Calibri" w:cs="Arial" w:ascii="Arial" w:hAnsi="Arial"/>
                <w:kern w:val="0"/>
                <w:sz w:val="18"/>
                <w:szCs w:val="18"/>
                <w:lang w:val="pl-PL" w:bidi="ar-SA"/>
              </w:rPr>
              <w:t>Zapewnienie bezpieczeństwa na terenie jednostek administrowanych przez ADO.</w:t>
            </w:r>
          </w:p>
        </w:tc>
      </w:tr>
      <w:tr>
        <w:trPr/>
        <w:tc>
          <w:tcPr>
            <w:tcW w:w="709"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3</w:t>
            </w:r>
          </w:p>
        </w:tc>
        <w:tc>
          <w:tcPr>
            <w:tcW w:w="2408"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Zakres Danych </w:t>
              <w:br/>
              <w:t>i Podstawa Prawna Przetwarzania</w:t>
            </w:r>
          </w:p>
        </w:tc>
        <w:tc>
          <w:tcPr>
            <w:tcW w:w="5671"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Przetwarzane mogą być Państwa </w:t>
            </w:r>
            <w:r>
              <w:rPr>
                <w:rFonts w:eastAsia="Calibri" w:cs="Arial" w:ascii="Arial" w:hAnsi="Arial"/>
                <w:b/>
                <w:bCs/>
                <w:kern w:val="0"/>
                <w:sz w:val="18"/>
                <w:szCs w:val="18"/>
                <w:lang w:val="pl-PL" w:bidi="ar-SA"/>
              </w:rPr>
              <w:t>dane zwykłe</w:t>
            </w:r>
            <w:r>
              <w:rPr>
                <w:rFonts w:eastAsia="Calibri" w:cs="Arial" w:ascii="Arial" w:hAnsi="Arial"/>
                <w:kern w:val="0"/>
                <w:sz w:val="18"/>
                <w:szCs w:val="18"/>
                <w:lang w:val="pl-PL" w:bidi="ar-SA"/>
              </w:rPr>
              <w:t xml:space="preserve"> </w:t>
            </w:r>
            <w:r>
              <w:rPr>
                <w:rFonts w:eastAsia="Calibri" w:cs="Arial" w:ascii="Arial" w:hAnsi="Arial"/>
                <w:b/>
                <w:bCs/>
                <w:kern w:val="0"/>
                <w:sz w:val="18"/>
                <w:szCs w:val="18"/>
                <w:lang w:val="pl-PL" w:bidi="ar-SA"/>
              </w:rPr>
              <w:t>i wrażliwe.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w zależności od celu w jakim są przetwarzane mogą być przetwarzane przez ADO w oparciu </w:t>
              <w:br/>
              <w:t>o następujące podstawy prawne:</w:t>
            </w:r>
          </w:p>
          <w:p>
            <w:pPr>
              <w:pStyle w:val="Normal"/>
              <w:widowControl/>
              <w:numPr>
                <w:ilvl w:val="0"/>
                <w:numId w:val="2"/>
              </w:numPr>
              <w:spacing w:before="0" w:after="0"/>
              <w:contextualSpacing/>
              <w:rPr>
                <w:rFonts w:ascii="Arial" w:hAnsi="Arial" w:cs="Arial"/>
                <w:b/>
                <w:b/>
                <w:sz w:val="18"/>
                <w:szCs w:val="18"/>
              </w:rPr>
            </w:pPr>
            <w:r>
              <w:rPr>
                <w:rFonts w:eastAsia="Calibri" w:cs="Arial" w:ascii="Arial" w:hAnsi="Arial"/>
                <w:b/>
                <w:kern w:val="0"/>
                <w:sz w:val="18"/>
                <w:szCs w:val="18"/>
                <w:lang w:val="pl-PL" w:bidi="ar-SA"/>
              </w:rPr>
              <w:t xml:space="preserve">Art. 6 ust. 1 lit. a) RODO </w:t>
              <w:tab/>
            </w:r>
          </w:p>
          <w:p>
            <w:pPr>
              <w:pStyle w:val="Normal"/>
              <w:widowControl/>
              <w:spacing w:before="0" w:after="0"/>
              <w:ind w:left="360" w:hanging="0"/>
              <w:contextualSpacing/>
              <w:rPr>
                <w:rFonts w:ascii="Arial" w:hAnsi="Arial" w:cs="Arial"/>
                <w:bCs/>
                <w:sz w:val="18"/>
                <w:szCs w:val="18"/>
              </w:rPr>
            </w:pPr>
            <w:r>
              <w:rPr>
                <w:rFonts w:eastAsia="Calibri" w:cs="Arial" w:ascii="Arial" w:hAnsi="Arial"/>
                <w:bCs/>
                <w:kern w:val="0"/>
                <w:sz w:val="18"/>
                <w:szCs w:val="18"/>
                <w:lang w:val="pl-PL" w:bidi="ar-SA"/>
              </w:rPr>
              <w:t>zgoda na przetwarzanie danych osobowych osoby, której dane dotyczą i które osoba ta podała samodzielnie i dobrowolnie</w:t>
            </w:r>
          </w:p>
          <w:p>
            <w:pPr>
              <w:pStyle w:val="Normal"/>
              <w:widowControl/>
              <w:numPr>
                <w:ilvl w:val="0"/>
                <w:numId w:val="2"/>
              </w:numPr>
              <w:spacing w:before="0" w:after="0"/>
              <w:contextualSpacing/>
              <w:rPr>
                <w:rFonts w:ascii="Arial" w:hAnsi="Arial" w:cs="Arial"/>
                <w:b/>
                <w:b/>
                <w:sz w:val="18"/>
                <w:szCs w:val="18"/>
              </w:rPr>
            </w:pPr>
            <w:r>
              <w:rPr>
                <w:rFonts w:eastAsia="Calibri" w:cs="Arial" w:ascii="Arial" w:hAnsi="Arial"/>
                <w:b/>
                <w:kern w:val="0"/>
                <w:sz w:val="18"/>
                <w:szCs w:val="18"/>
                <w:lang w:val="pl-PL" w:bidi="ar-SA"/>
              </w:rPr>
              <w:t xml:space="preserve">Art. 6 ust. 1 lit. b) RODO </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niezbędność przetwarzania danych osobowych dla wykonania umowy, której stroną jest osoba, której dane dotyczą, lub do podjęcia działań na żądanie osoby, której dane dotyczą, przed zawarciem umowy,</w:t>
            </w:r>
          </w:p>
          <w:p>
            <w:pPr>
              <w:pStyle w:val="Normal"/>
              <w:widowControl/>
              <w:numPr>
                <w:ilvl w:val="0"/>
                <w:numId w:val="2"/>
              </w:numPr>
              <w:spacing w:before="0" w:after="0"/>
              <w:contextualSpacing/>
              <w:rPr>
                <w:rFonts w:ascii="Arial" w:hAnsi="Arial" w:cs="Arial"/>
                <w:b/>
                <w:b/>
                <w:sz w:val="18"/>
                <w:szCs w:val="18"/>
              </w:rPr>
            </w:pPr>
            <w:r>
              <w:rPr>
                <w:rFonts w:eastAsia="Calibri" w:cs="Arial" w:ascii="Arial" w:hAnsi="Arial"/>
                <w:b/>
                <w:kern w:val="0"/>
                <w:sz w:val="18"/>
                <w:szCs w:val="18"/>
                <w:lang w:val="pl-PL" w:bidi="ar-SA"/>
              </w:rPr>
              <w:t xml:space="preserve">Art. 6 ust. 1 lit. c) RODO </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wypełnienie obowiązku prawnego ciążącego na ADO</w:t>
            </w:r>
          </w:p>
          <w:p>
            <w:pPr>
              <w:pStyle w:val="Normal"/>
              <w:widowControl/>
              <w:numPr>
                <w:ilvl w:val="0"/>
                <w:numId w:val="2"/>
              </w:numPr>
              <w:spacing w:before="0" w:after="0"/>
              <w:contextualSpacing/>
              <w:rPr>
                <w:rFonts w:ascii="Arial" w:hAnsi="Arial" w:cs="Arial"/>
                <w:b/>
                <w:b/>
                <w:sz w:val="18"/>
                <w:szCs w:val="18"/>
              </w:rPr>
            </w:pPr>
            <w:r>
              <w:rPr>
                <w:rFonts w:eastAsia="Calibri" w:cs="Arial" w:ascii="Arial" w:hAnsi="Arial"/>
                <w:b/>
                <w:kern w:val="0"/>
                <w:sz w:val="18"/>
                <w:szCs w:val="18"/>
                <w:lang w:val="pl-PL" w:bidi="ar-SA"/>
              </w:rPr>
              <w:t>Art. 6 ust. 1 lit. f) RODO</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niezbędność dla realizacji celów wynikających z prawnie uzasadnionych interesów realizowanych przez ADO lub przez stronę trzecią,</w:t>
            </w:r>
          </w:p>
          <w:p>
            <w:pPr>
              <w:pStyle w:val="Normal"/>
              <w:widowControl/>
              <w:numPr>
                <w:ilvl w:val="0"/>
                <w:numId w:val="2"/>
              </w:numPr>
              <w:spacing w:before="0" w:after="0"/>
              <w:contextualSpacing/>
              <w:rPr>
                <w:rFonts w:ascii="Arial" w:hAnsi="Arial" w:cs="Arial"/>
                <w:b/>
                <w:b/>
                <w:sz w:val="18"/>
                <w:szCs w:val="18"/>
              </w:rPr>
            </w:pPr>
            <w:r>
              <w:rPr>
                <w:rFonts w:eastAsia="Calibri" w:cs="Arial" w:ascii="Arial" w:hAnsi="Arial"/>
                <w:b/>
                <w:kern w:val="0"/>
                <w:sz w:val="18"/>
                <w:szCs w:val="18"/>
                <w:lang w:val="pl-PL" w:bidi="ar-SA"/>
              </w:rPr>
              <w:t>Art. 9 ust. 2 lit. b) RODO</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 xml:space="preserve">wypełnienie obowiązku prawnego ciążącego na ADO </w:t>
              <w:br/>
              <w:t xml:space="preserve">w dziedzinie prawa pracy, zabezpieczenia społecznego </w:t>
              <w:br/>
              <w:t>i ochrony socjalnej</w:t>
            </w:r>
          </w:p>
          <w:p>
            <w:pPr>
              <w:pStyle w:val="Normal"/>
              <w:widowControl/>
              <w:numPr>
                <w:ilvl w:val="0"/>
                <w:numId w:val="2"/>
              </w:numPr>
              <w:spacing w:before="0" w:after="0"/>
              <w:contextualSpacing/>
              <w:rPr>
                <w:rFonts w:ascii="Arial" w:hAnsi="Arial" w:cs="Arial"/>
                <w:b/>
                <w:b/>
                <w:sz w:val="18"/>
                <w:szCs w:val="18"/>
              </w:rPr>
            </w:pPr>
            <w:r>
              <w:rPr>
                <w:rFonts w:eastAsia="Calibri" w:cs="Arial" w:ascii="Arial" w:hAnsi="Arial"/>
                <w:b/>
                <w:kern w:val="0"/>
                <w:sz w:val="18"/>
                <w:szCs w:val="18"/>
                <w:lang w:val="pl-PL" w:bidi="ar-SA"/>
              </w:rPr>
              <w:t>Art. 9 ust. 2 lit. h) RODO</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niezbędność do oceny zdolności wolontariusza do uczestniczeniu w wolontariacie, a także dla celów profilaktyki zdrowotnej, diagnozy medycznej, zapewnienia opieki zdrowotnej, leczenia lub zarządzania systemami i usługami opieki zdrowotnej,</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4</w:t>
            </w:r>
          </w:p>
        </w:tc>
        <w:tc>
          <w:tcPr>
            <w:tcW w:w="2408"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Prawnie uzasadniony interes ADO</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toku przetwarzania danych osobowych ADO może realizować uzasadniony interes w oparciu o przesłankę z art. 6 ust. 1 lit f) m.in. w przypadku dochodzenia lub ustalenia roszczeń a także obrony przed nimi.</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5</w:t>
            </w:r>
          </w:p>
        </w:tc>
        <w:tc>
          <w:tcPr>
            <w:tcW w:w="2408"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Odbiorcy danych osobowych</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będą przekazywane zgodnie z wymogami wynikającymi z prawa, a także w ściśle określonym celu pracownikom ADO lub podmiotom współpracującym, które dysponują stosownym upoważnieniem lub umową powierzenia przetwarzania danych osobowych, celem zapewnienia odpowiedniego poziomu bezpieczeństwa.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W przypadku istnienia obowiązku prawnego lub złożenia stosownego żądania dane osobowe mogą także zostać przekazane odpowiednim organom państwowym. </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6</w:t>
            </w:r>
          </w:p>
        </w:tc>
        <w:tc>
          <w:tcPr>
            <w:tcW w:w="2408"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Przekazanie do państw trzecich lub organizacji międzynarodowych</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nie będą przekazywane do państw trzecich ani organizacji międzynarodowych</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7</w:t>
            </w:r>
          </w:p>
        </w:tc>
        <w:tc>
          <w:tcPr>
            <w:tcW w:w="2408"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Okres przechowywania danych osobowych</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będą przechowywane przez okres niezbędny dla realizacji celu, w jakim zostały pobrane, jednak nie dłużej niż wynikałoby to z przepisów prawa.</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8</w:t>
            </w:r>
          </w:p>
        </w:tc>
        <w:tc>
          <w:tcPr>
            <w:tcW w:w="2408"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Prawo dostępu do danych osobowych </w:t>
              <w:br/>
              <w:t>i ich sprostowania</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od ADO dostępu do danych osobowych, które was dotyczą jak również do ich sprostowania lub uzupełnienia w sytuacji, w której będą one niepełne lub nieprawidłowe.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9</w:t>
            </w:r>
          </w:p>
        </w:tc>
        <w:tc>
          <w:tcPr>
            <w:tcW w:w="2408"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usunięcia danych osobowych</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aby ADO usunął dane osobowe, które was dotyczą, przy czym w sytuacji, w której ich przetwarzanie będzie oparte o przesłanki inne aniżeli zgoda na ich przetwarzanie to prawo nie będzie mogło zostać skutecznie wykonane.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10</w:t>
            </w:r>
          </w:p>
        </w:tc>
        <w:tc>
          <w:tcPr>
            <w:tcW w:w="2408"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wniesienia sprzeciwu</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wnieść sprzeciw wobec przetwarzania danych osobowych, które Państwa dotyczą, przy czym prawo to nie będzie mogło zostać skutecznie wykonane jeżeli ADO wykaże istnienie ważnych prawnie uzasadnionych podstaw do przetwarzania, nadrzędnych wobec Państwa  interesów, praw i wolności, lub podstaw do ustalenia, dochodzenia lub obrony roszczeń.</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11</w:t>
            </w:r>
          </w:p>
        </w:tc>
        <w:tc>
          <w:tcPr>
            <w:tcW w:w="2408"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przenoszenia danych osobowych</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otrzymać w ustrukturyzowanym, powszechnie używanym formacie nadającym się do odczytu maszynowego dane osobowe, które Państwa dotyczą, a które to dostarczyliście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również prawo przesłać te dane osobowe innemu administratorowi bez przeszkód ze strony ADO. Jeżeli jest to technicznie możliwe macie Państwo również prawo żądać, aby ADO przesłał wskazane dane osobowe innemu administratorowi bezpośrednio.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709"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12</w:t>
            </w:r>
          </w:p>
        </w:tc>
        <w:tc>
          <w:tcPr>
            <w:tcW w:w="2408"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ograniczenia przetwarzania danych osobowych</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Informujemy, że macie Państwo prawo do żądania od ADO ograniczenia przetwarzania Państwa danych osobowych </w:t>
              <w:br/>
              <w:t>w następujących przypadkach:</w:t>
            </w:r>
          </w:p>
          <w:p>
            <w:pPr>
              <w:pStyle w:val="Normal"/>
              <w:widowControl/>
              <w:numPr>
                <w:ilvl w:val="0"/>
                <w:numId w:val="3"/>
              </w:numPr>
              <w:spacing w:before="0" w:after="0"/>
              <w:contextualSpacing/>
              <w:rPr>
                <w:rFonts w:ascii="Arial" w:hAnsi="Arial" w:cs="Arial"/>
                <w:sz w:val="18"/>
                <w:szCs w:val="18"/>
              </w:rPr>
            </w:pPr>
            <w:r>
              <w:rPr>
                <w:rFonts w:eastAsia="Calibri" w:cs="Arial" w:ascii="Arial" w:hAnsi="Arial"/>
                <w:kern w:val="0"/>
                <w:sz w:val="18"/>
                <w:szCs w:val="18"/>
                <w:lang w:val="pl-PL" w:bidi="ar-SA"/>
              </w:rPr>
              <w:t>gdy kwestionujecie Państwo prawidłowość danych osobowych - na okres pozwalający administratorowi sprawdzić prawidłowość tych danych;</w:t>
            </w:r>
          </w:p>
          <w:p>
            <w:pPr>
              <w:pStyle w:val="Normal"/>
              <w:widowControl/>
              <w:numPr>
                <w:ilvl w:val="0"/>
                <w:numId w:val="3"/>
              </w:numPr>
              <w:spacing w:before="0" w:after="0"/>
              <w:contextualSpacing/>
              <w:rPr>
                <w:rFonts w:ascii="Arial" w:hAnsi="Arial" w:cs="Arial"/>
                <w:sz w:val="18"/>
                <w:szCs w:val="18"/>
              </w:rPr>
            </w:pPr>
            <w:r>
              <w:rPr>
                <w:rFonts w:eastAsia="Calibri" w:cs="Arial" w:ascii="Arial" w:hAnsi="Arial"/>
                <w:kern w:val="0"/>
                <w:sz w:val="18"/>
                <w:szCs w:val="18"/>
                <w:lang w:val="pl-PL" w:bidi="ar-SA"/>
              </w:rPr>
              <w:t>gdy przetwarzanie danych jest niezgodne z prawem, a Państwo sprzeciwicie się usunięciu danych osobowych, żądając w zamian ograniczenia ich wykorzystywania;</w:t>
            </w:r>
          </w:p>
          <w:p>
            <w:pPr>
              <w:pStyle w:val="Normal"/>
              <w:widowControl/>
              <w:numPr>
                <w:ilvl w:val="0"/>
                <w:numId w:val="3"/>
              </w:numPr>
              <w:spacing w:before="0" w:after="0"/>
              <w:contextualSpacing/>
              <w:rPr>
                <w:rFonts w:ascii="Arial" w:hAnsi="Arial" w:cs="Arial"/>
                <w:sz w:val="18"/>
                <w:szCs w:val="18"/>
              </w:rPr>
            </w:pPr>
            <w:r>
              <w:rPr>
                <w:rFonts w:eastAsia="Calibri" w:cs="Arial" w:ascii="Arial" w:hAnsi="Arial"/>
                <w:kern w:val="0"/>
                <w:sz w:val="18"/>
                <w:szCs w:val="18"/>
                <w:lang w:val="pl-PL" w:bidi="ar-SA"/>
              </w:rPr>
              <w:t>gdy ADO nie potrzebuje już danych osobowych do celów przetwarzania, ale są one potrzebne Państwu, do ustalenia, dochodzenia lub obrony roszczeń;</w:t>
            </w:r>
          </w:p>
          <w:p>
            <w:pPr>
              <w:pStyle w:val="Normal"/>
              <w:widowControl/>
              <w:numPr>
                <w:ilvl w:val="0"/>
                <w:numId w:val="3"/>
              </w:numPr>
              <w:spacing w:before="0" w:after="0"/>
              <w:contextualSpacing/>
              <w:rPr>
                <w:rFonts w:ascii="Arial" w:hAnsi="Arial" w:cs="Arial"/>
                <w:i/>
                <w:i/>
                <w:sz w:val="18"/>
                <w:szCs w:val="18"/>
              </w:rPr>
            </w:pPr>
            <w:r>
              <w:rPr>
                <w:rFonts w:eastAsia="Calibri" w:cs="Arial" w:ascii="Arial" w:hAnsi="Arial"/>
                <w:kern w:val="0"/>
                <w:sz w:val="18"/>
                <w:szCs w:val="18"/>
                <w:lang w:val="pl-PL" w:bidi="ar-SA"/>
              </w:rPr>
              <w:t xml:space="preserve">gdy wniosą Państwo sprzeciw wobec przetwarzania danych osobowych - do czasu stwierdzenia, czy prawnie uzasadnione podstawy po stronie ADO są nadrzędne wobec podstaw Państwa sprzeciwu, za wyjątkiem sprzeciwu wobec działań marketingu bezpośredniego, co do którego sprzeciw Państwa jest bezwzględnie skuteczny. </w:t>
            </w:r>
          </w:p>
        </w:tc>
      </w:tr>
    </w:tbl>
    <w:p>
      <w:pPr>
        <w:pStyle w:val="Normal"/>
        <w:spacing w:lineRule="auto" w:line="276" w:before="0" w:after="120"/>
        <w:rPr>
          <w:rFonts w:ascii="Arial" w:hAnsi="Arial" w:cs="Arial"/>
          <w:b/>
          <w:b/>
          <w:sz w:val="18"/>
          <w:szCs w:val="18"/>
        </w:rPr>
      </w:pPr>
      <w:r>
        <w:rPr>
          <w:rFonts w:cs="Arial" w:ascii="Arial" w:hAnsi="Arial"/>
          <w:b/>
          <w:sz w:val="18"/>
          <w:szCs w:val="18"/>
        </w:rPr>
      </w:r>
    </w:p>
    <w:p>
      <w:pPr>
        <w:pStyle w:val="Normal"/>
        <w:spacing w:lineRule="auto" w:line="276" w:before="0" w:after="120"/>
        <w:rPr>
          <w:rFonts w:ascii="Arial" w:hAnsi="Arial" w:cs="Arial"/>
          <w:b/>
          <w:b/>
          <w:sz w:val="18"/>
          <w:szCs w:val="18"/>
        </w:rPr>
      </w:pPr>
      <w:r>
        <w:rPr>
          <w:rFonts w:cs="Arial" w:ascii="Arial" w:hAnsi="Arial"/>
          <w:b/>
          <w:sz w:val="18"/>
          <w:szCs w:val="18"/>
        </w:rPr>
        <w:t>Oświadczam, że zapoznałem się z przysługującymi mi prawami w zakresie przetwarzania danych osobowych przez ADO oraz, że są one dla mnie w pełni zrozumiałe.</w:t>
      </w:r>
    </w:p>
    <w:p>
      <w:pPr>
        <w:pStyle w:val="Normal"/>
        <w:spacing w:lineRule="auto" w:line="276" w:before="0" w:after="120"/>
        <w:jc w:val="left"/>
        <w:rPr>
          <w:rFonts w:ascii="Arial" w:hAnsi="Arial" w:cs="Arial"/>
          <w:sz w:val="18"/>
          <w:szCs w:val="18"/>
        </w:rPr>
      </w:pPr>
      <w:r>
        <w:rPr>
          <w:rFonts w:cs="Arial" w:ascii="Arial" w:hAnsi="Arial"/>
          <w:sz w:val="18"/>
          <w:szCs w:val="18"/>
        </w:rPr>
      </w:r>
    </w:p>
    <w:p>
      <w:pPr>
        <w:pStyle w:val="Normal"/>
        <w:spacing w:lineRule="auto" w:line="276" w:before="0" w:after="120"/>
        <w:jc w:val="left"/>
        <w:rPr>
          <w:rFonts w:ascii="Arial" w:hAnsi="Arial" w:cs="Arial"/>
          <w:sz w:val="18"/>
          <w:szCs w:val="18"/>
        </w:rPr>
      </w:pPr>
      <w:r>
        <w:rPr>
          <w:rFonts w:cs="Arial" w:ascii="Arial" w:hAnsi="Arial"/>
          <w:sz w:val="18"/>
          <w:szCs w:val="18"/>
        </w:rPr>
        <w:t>……………………………</w:t>
      </w:r>
      <w:r>
        <w:rPr>
          <w:rFonts w:cs="Arial" w:ascii="Arial" w:hAnsi="Arial"/>
          <w:sz w:val="18"/>
          <w:szCs w:val="18"/>
        </w:rPr>
        <w:t>, dn. ……………………..r.,        ……………………………………………………</w:t>
      </w:r>
    </w:p>
    <w:p>
      <w:pPr>
        <w:pStyle w:val="Normal"/>
        <w:spacing w:lineRule="auto" w:line="276" w:before="0" w:after="120"/>
        <w:jc w:val="left"/>
        <w:rPr>
          <w:rFonts w:ascii="Arial" w:hAnsi="Arial" w:cs="Arial"/>
          <w:sz w:val="18"/>
          <w:szCs w:val="18"/>
          <w:highlight w:val="red"/>
        </w:rPr>
      </w:pPr>
      <w:r>
        <w:rPr>
          <w:rFonts w:cs="Arial" w:ascii="Arial" w:hAnsi="Arial"/>
          <w:sz w:val="18"/>
          <w:szCs w:val="18"/>
        </w:rPr>
        <w:t xml:space="preserve">                                                                                                                </w:t>
      </w:r>
      <w:r>
        <w:rPr>
          <w:rFonts w:cs="Arial" w:ascii="Arial" w:hAnsi="Arial"/>
          <w:sz w:val="18"/>
          <w:szCs w:val="18"/>
        </w:rPr>
        <w:t>/czytelny podpis/</w:t>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t>Opracowanie IODO - Magdalena Adamek-Balcerowicz</w:t>
      </w:r>
    </w:p>
    <w:sectPr>
      <w:headerReference w:type="default" r:id="rId2"/>
      <w:footerReference w:type="default" r:id="rId3"/>
      <w:type w:val="nextPage"/>
      <w:pgSz w:w="11906" w:h="16838"/>
      <w:pgMar w:left="1417" w:right="1417" w:header="568" w:top="1417" w:footer="517"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Tahoma">
    <w:charset w:val="ee"/>
    <w:family w:val="roman"/>
    <w:pitch w:val="variable"/>
  </w:font>
  <w:font w:name="Liberation Sans">
    <w:altName w:val="Arial"/>
    <w:charset w:val="ee"/>
    <w:family w:val="swiss"/>
    <w:pitch w:val="variable"/>
  </w:font>
  <w:font w:name="Times New Roman">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pBdr>
        <w:bottom w:val="single" w:sz="6" w:space="1" w:color="000000"/>
      </w:pBdr>
      <w:tabs>
        <w:tab w:val="clear" w:pos="708"/>
        <w:tab w:val="left" w:pos="2835" w:leader="none"/>
        <w:tab w:val="center" w:pos="4536" w:leader="none"/>
      </w:tabs>
      <w:jc w:val="left"/>
      <w:rPr>
        <w:rFonts w:ascii="Arial" w:hAnsi="Arial" w:cs="Arial"/>
        <w:color w:val="000000"/>
        <w:sz w:val="16"/>
        <w:szCs w:val="16"/>
      </w:rPr>
    </w:pPr>
    <w:r>
      <w:rPr>
        <w:rFonts w:cs="Arial" w:ascii="Arial" w:hAnsi="Arial"/>
        <w:color w:val="000000"/>
        <w:sz w:val="16"/>
        <w:szCs w:val="16"/>
      </w:rPr>
    </w:r>
  </w:p>
  <w:p>
    <w:pPr>
      <w:pStyle w:val="Normal"/>
      <w:tabs>
        <w:tab w:val="clear" w:pos="708"/>
        <w:tab w:val="left" w:pos="2835" w:leader="none"/>
        <w:tab w:val="center" w:pos="4536" w:leader="none"/>
      </w:tabs>
      <w:jc w:val="left"/>
      <w:rPr>
        <w:rFonts w:ascii="Arial" w:hAnsi="Arial" w:cs="Arial"/>
        <w:color w:val="000000"/>
        <w:sz w:val="16"/>
        <w:szCs w:val="16"/>
      </w:rPr>
    </w:pPr>
    <w:r>
      <w:rPr/>
      <mc:AlternateContent>
        <mc:Choice Requires="wps">
          <w:drawing>
            <wp:anchor behindDoc="1" distT="0" distB="0" distL="0" distR="0" simplePos="0" locked="0" layoutInCell="0" allowOverlap="1" relativeHeight="17" wp14:anchorId="39467CE8">
              <wp:simplePos x="0" y="0"/>
              <wp:positionH relativeFrom="column">
                <wp:posOffset>2272030</wp:posOffset>
              </wp:positionH>
              <wp:positionV relativeFrom="paragraph">
                <wp:posOffset>107315</wp:posOffset>
              </wp:positionV>
              <wp:extent cx="3039110" cy="591185"/>
              <wp:effectExtent l="5080" t="12065" r="13970" b="6985"/>
              <wp:wrapNone/>
              <wp:docPr id="4" name="Text Box 3"/>
              <a:graphic xmlns:a="http://schemas.openxmlformats.org/drawingml/2006/main">
                <a:graphicData uri="http://schemas.microsoft.com/office/word/2010/wordprocessingShape">
                  <wps:wsp>
                    <wps:cNvSpPr/>
                    <wps:spPr>
                      <a:xfrm>
                        <a:off x="0" y="0"/>
                        <a:ext cx="3038400" cy="590400"/>
                      </a:xfrm>
                      <a:prstGeom prst="rect">
                        <a:avLst/>
                      </a:prstGeom>
                      <a:solidFill>
                        <a:srgbClr val="ffffff"/>
                      </a:solidFill>
                      <a:ln w="9525">
                        <a:solidFill>
                          <a:srgbClr val="ffffff"/>
                        </a:solidFill>
                        <a:miter/>
                      </a:ln>
                    </wps:spPr>
                    <wps:style>
                      <a:lnRef idx="0"/>
                      <a:fillRef idx="0"/>
                      <a:effectRef idx="0"/>
                      <a:fontRef idx="minor"/>
                    </wps:style>
                    <wps:txb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1">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wps:txbx>
                    <wps:bodyPr>
                      <a:noAutofit/>
                    </wps:bodyPr>
                  </wps:wsp>
                </a:graphicData>
              </a:graphic>
            </wp:anchor>
          </w:drawing>
        </mc:Choice>
        <mc:Fallback>
          <w:pict>
            <v:rect id="shape_0" ID="Text Box 3" fillcolor="white" stroked="t" style="position:absolute;margin-left:178.9pt;margin-top:8.45pt;width:239.2pt;height:46.45pt;mso-wrap-style:square;v-text-anchor:top" wp14:anchorId="39467CE8">
              <v:fill o:detectmouseclick="t" type="solid" color2="black"/>
              <v:stroke color="white" weight="9360" joinstyle="miter" endcap="flat"/>
              <v:textbo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2">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v:textbox>
              <w10:wrap type="none"/>
            </v:rect>
          </w:pict>
        </mc:Fallback>
      </mc:AlternateContent>
      <w:drawing>
        <wp:inline distT="0" distB="0" distL="0" distR="0">
          <wp:extent cx="2181225" cy="876300"/>
          <wp:effectExtent l="0" t="0" r="0" b="0"/>
          <wp:docPr id="6" name="Obraz 2" descr="wss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2" descr="wss400"/>
                  <pic:cNvPicPr>
                    <a:picLocks noChangeAspect="1" noChangeArrowheads="1"/>
                  </pic:cNvPicPr>
                </pic:nvPicPr>
                <pic:blipFill>
                  <a:blip r:embed="rId3"/>
                  <a:stretch>
                    <a:fillRect/>
                  </a:stretch>
                </pic:blipFill>
                <pic:spPr bwMode="auto">
                  <a:xfrm>
                    <a:off x="0" y="0"/>
                    <a:ext cx="2181225" cy="876300"/>
                  </a:xfrm>
                  <a:prstGeom prst="rect">
                    <a:avLst/>
                  </a:prstGeom>
                </pic:spPr>
              </pic:pic>
            </a:graphicData>
          </a:graphic>
        </wp:inline>
      </w:drawing>
    </w:r>
  </w:p>
  <w:p>
    <w:pPr>
      <w:pStyle w:val="Normal"/>
      <w:jc w:val="right"/>
      <w:rPr>
        <w:rFonts w:ascii="Arial" w:hAnsi="Arial" w:cs="Arial"/>
        <w:color w:val="000000"/>
      </w:rPr>
    </w:pPr>
    <w:r>
      <w:rPr>
        <w:rFonts w:cs="Arial" w:ascii="Arial" w:hAnsi="Arial"/>
      </w:rPr>
      <w:t xml:space="preserve">Strona </w:t>
    </w:r>
    <w:r>
      <w:rPr>
        <w:rFonts w:cs="Arial" w:ascii="Arial" w:hAnsi="Arial"/>
      </w:rPr>
      <w:fldChar w:fldCharType="begin"/>
    </w:r>
    <w:r>
      <w:rPr>
        <w:rFonts w:cs="Arial" w:ascii="Arial" w:hAnsi="Arial"/>
      </w:rPr>
      <w:instrText> PAGE </w:instrText>
    </w:r>
    <w:r>
      <w:rPr>
        <w:rFonts w:cs="Arial" w:ascii="Arial" w:hAnsi="Arial"/>
      </w:rPr>
      <w:fldChar w:fldCharType="separate"/>
    </w:r>
    <w:r>
      <w:rPr>
        <w:rFonts w:cs="Arial" w:ascii="Arial" w:hAnsi="Arial"/>
      </w:rPr>
      <w:t>4</w:t>
    </w:r>
    <w:r>
      <w:rPr>
        <w:rFonts w:cs="Arial" w:ascii="Arial" w:hAnsi="Arial"/>
      </w:rPr>
      <w:fldChar w:fldCharType="end"/>
    </w:r>
    <w:r>
      <w:rPr>
        <w:rFonts w:cs="Arial" w:ascii="Arial" w:hAnsi="Arial"/>
      </w:rPr>
      <w:t xml:space="preserve"> z </w:t>
    </w:r>
    <w:r>
      <w:rPr>
        <w:rFonts w:cs="Arial" w:ascii="Arial" w:hAnsi="Arial"/>
      </w:rPr>
      <w:fldChar w:fldCharType="begin"/>
    </w:r>
    <w:r>
      <w:rPr>
        <w:rFonts w:cs="Arial" w:ascii="Arial" w:hAnsi="Arial"/>
      </w:rPr>
      <w:instrText> NUMPAGES </w:instrText>
    </w:r>
    <w:r>
      <w:rPr>
        <w:rFonts w:cs="Arial" w:ascii="Arial" w:hAnsi="Arial"/>
      </w:rPr>
      <w:fldChar w:fldCharType="separate"/>
    </w:r>
    <w:r>
      <w:rPr>
        <w:rFonts w:cs="Arial" w:ascii="Arial" w:hAnsi="Arial"/>
      </w:rPr>
      <w:t>4</w:t>
    </w:r>
    <w:r>
      <w:rPr>
        <w:rFonts w:cs="Arial" w:ascii="Arial" w:hAnsi="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sz w:val="12"/>
        <w:szCs w:val="12"/>
      </w:rPr>
    </w:pPr>
    <w:r>
      <w:rPr/>
      <mc:AlternateContent>
        <mc:Choice Requires="wps">
          <w:drawing>
            <wp:anchor behindDoc="1" distT="0" distB="0" distL="0" distR="0" simplePos="0" locked="0" layoutInCell="0" allowOverlap="1" relativeHeight="13" wp14:anchorId="2350B628">
              <wp:simplePos x="0" y="0"/>
              <wp:positionH relativeFrom="column">
                <wp:posOffset>801370</wp:posOffset>
              </wp:positionH>
              <wp:positionV relativeFrom="paragraph">
                <wp:posOffset>83820</wp:posOffset>
              </wp:positionV>
              <wp:extent cx="5005070" cy="559435"/>
              <wp:effectExtent l="1270" t="0" r="4445" b="0"/>
              <wp:wrapNone/>
              <wp:docPr id="1" name="Text Box 2"/>
              <a:graphic xmlns:a="http://schemas.openxmlformats.org/drawingml/2006/main">
                <a:graphicData uri="http://schemas.microsoft.com/office/word/2010/wordprocessingShape">
                  <wps:wsp>
                    <wps:cNvSpPr/>
                    <wps:spPr>
                      <a:xfrm>
                        <a:off x="0" y="0"/>
                        <a:ext cx="5004360" cy="558720"/>
                      </a:xfrm>
                      <a:prstGeom prst="rect">
                        <a:avLst/>
                      </a:prstGeom>
                      <a:solidFill>
                        <a:srgbClr val="ffffff"/>
                      </a:solidFill>
                      <a:ln w="0">
                        <a:noFill/>
                      </a:ln>
                    </wps:spPr>
                    <wps:style>
                      <a:lnRef idx="0"/>
                      <a:fillRef idx="0"/>
                      <a:effectRef idx="0"/>
                      <a:fontRef idx="minor"/>
                    </wps:style>
                    <wps:txb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wps:txbx>
                    <wps:bodyPr>
                      <a:noAutofit/>
                    </wps:bodyPr>
                  </wps:wsp>
                </a:graphicData>
              </a:graphic>
            </wp:anchor>
          </w:drawing>
        </mc:Choice>
        <mc:Fallback>
          <w:pict>
            <v:rect id="shape_0" ID="Text Box 2" fillcolor="white" stroked="f" style="position:absolute;margin-left:63.1pt;margin-top:6.6pt;width:394pt;height:43.95pt;mso-wrap-style:square;v-text-anchor:top" wp14:anchorId="2350B628">
              <v:fill o:detectmouseclick="t" type="solid" color2="black"/>
              <v:stroke color="#3465a4" joinstyle="round" endcap="flat"/>
              <v:textbo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v:textbox>
              <w10:wrap type="none"/>
            </v:rect>
          </w:pict>
        </mc:Fallback>
      </mc:AlternateContent>
      <w:drawing>
        <wp:inline distT="0" distB="0" distL="0" distR="0">
          <wp:extent cx="876300" cy="714375"/>
          <wp:effectExtent l="0" t="0" r="0" b="0"/>
          <wp:docPr id="3" name="Obraz 22" descr="C:\Users\Dell\AppData\Local\Microsoft\Windows\INetCache\Content.Word\mod_nag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2" descr="C:\Users\Dell\AppData\Local\Microsoft\Windows\INetCache\Content.Word\mod_nagl.png"/>
                  <pic:cNvPicPr>
                    <a:picLocks noChangeAspect="1" noChangeArrowheads="1"/>
                  </pic:cNvPicPr>
                </pic:nvPicPr>
                <pic:blipFill>
                  <a:blip r:embed="rId1"/>
                  <a:stretch>
                    <a:fillRect/>
                  </a:stretch>
                </pic:blipFill>
                <pic:spPr bwMode="auto">
                  <a:xfrm>
                    <a:off x="0" y="0"/>
                    <a:ext cx="876300" cy="714375"/>
                  </a:xfrm>
                  <a:prstGeom prst="rect">
                    <a:avLst/>
                  </a:prstGeom>
                </pic:spPr>
              </pic:pic>
            </a:graphicData>
          </a:graphic>
        </wp:inline>
      </w:drawing>
    </w:r>
  </w:p>
  <w:p>
    <w:pPr>
      <w:pStyle w:val="Gwka"/>
      <w:pBdr>
        <w:top w:val="single" w:sz="4" w:space="1" w:color="000000"/>
      </w:pBd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lvl w:ilvl="0">
      <w:start w:val="1"/>
      <w:numFmt w:val="lowerLetter"/>
      <w:lvlText w:val="%1)"/>
      <w:lvlJc w:val="left"/>
      <w:pPr>
        <w:tabs>
          <w:tab w:val="num" w:pos="0"/>
        </w:tabs>
        <w:ind w:left="360" w:hanging="360"/>
      </w:pPr>
      <w:rPr>
        <w:i w:val="fals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lvl w:ilvl="0">
      <w:start w:val="1"/>
      <w:numFmt w:val="decimal"/>
      <w:lvlText w:val="%1."/>
      <w:lvlJc w:val="left"/>
      <w:pPr>
        <w:tabs>
          <w:tab w:val="num" w:pos="0"/>
        </w:tabs>
        <w:ind w:left="643" w:hanging="360"/>
      </w:pPr>
    </w:lvl>
    <w:lvl w:ilvl="1">
      <w:start w:val="1"/>
      <w:numFmt w:val="decimal"/>
      <w:lvlText w:val="%1.%2."/>
      <w:lvlJc w:val="left"/>
      <w:pPr>
        <w:tabs>
          <w:tab w:val="num" w:pos="0"/>
        </w:tabs>
        <w:ind w:left="643" w:hanging="360"/>
      </w:pPr>
    </w:lvl>
    <w:lvl w:ilvl="2">
      <w:start w:val="1"/>
      <w:numFmt w:val="decimal"/>
      <w:lvlText w:val="%1.%2.%3."/>
      <w:lvlJc w:val="left"/>
      <w:pPr>
        <w:tabs>
          <w:tab w:val="num" w:pos="0"/>
        </w:tabs>
        <w:ind w:left="1003" w:hanging="720"/>
      </w:pPr>
    </w:lvl>
    <w:lvl w:ilvl="3">
      <w:start w:val="1"/>
      <w:numFmt w:val="decimal"/>
      <w:lvlText w:val="%1.%2.%3.%4."/>
      <w:lvlJc w:val="left"/>
      <w:pPr>
        <w:tabs>
          <w:tab w:val="num" w:pos="0"/>
        </w:tabs>
        <w:ind w:left="1003" w:hanging="720"/>
      </w:pPr>
    </w:lvl>
    <w:lvl w:ilvl="4">
      <w:start w:val="1"/>
      <w:numFmt w:val="decimal"/>
      <w:lvlText w:val="%1.%2.%3.%4.%5."/>
      <w:lvlJc w:val="left"/>
      <w:pPr>
        <w:tabs>
          <w:tab w:val="num" w:pos="0"/>
        </w:tabs>
        <w:ind w:left="1363" w:hanging="1080"/>
      </w:pPr>
    </w:lvl>
    <w:lvl w:ilvl="5">
      <w:start w:val="1"/>
      <w:numFmt w:val="decimal"/>
      <w:lvlText w:val="%1.%2.%3.%4.%5.%6."/>
      <w:lvlJc w:val="left"/>
      <w:pPr>
        <w:tabs>
          <w:tab w:val="num" w:pos="0"/>
        </w:tabs>
        <w:ind w:left="1363" w:hanging="1080"/>
      </w:pPr>
    </w:lvl>
    <w:lvl w:ilvl="6">
      <w:start w:val="1"/>
      <w:numFmt w:val="decimal"/>
      <w:lvlText w:val="%1.%2.%3.%4.%5.%6.%7."/>
      <w:lvlJc w:val="left"/>
      <w:pPr>
        <w:tabs>
          <w:tab w:val="num" w:pos="0"/>
        </w:tabs>
        <w:ind w:left="1723" w:hanging="1440"/>
      </w:pPr>
    </w:lvl>
    <w:lvl w:ilvl="7">
      <w:start w:val="1"/>
      <w:numFmt w:val="decimal"/>
      <w:lvlText w:val="%1.%2.%3.%4.%5.%6.%7.%8."/>
      <w:lvlJc w:val="left"/>
      <w:pPr>
        <w:tabs>
          <w:tab w:val="num" w:pos="0"/>
        </w:tabs>
        <w:ind w:left="1723" w:hanging="1440"/>
      </w:pPr>
    </w:lvl>
    <w:lvl w:ilvl="8">
      <w:start w:val="1"/>
      <w:numFmt w:val="decimal"/>
      <w:lvlText w:val="%1.%2.%3.%4.%5.%6.%7.%8.%9."/>
      <w:lvlJc w:val="left"/>
      <w:pPr>
        <w:tabs>
          <w:tab w:val="num" w:pos="0"/>
        </w:tabs>
        <w:ind w:left="2083" w:hanging="180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uiPriority="0"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1fd9"/>
    <w:pPr>
      <w:widowControl/>
      <w:bidi w:val="0"/>
      <w:spacing w:before="0" w:after="0"/>
      <w:jc w:val="both"/>
    </w:pPr>
    <w:rPr>
      <w:rFonts w:ascii="Calibri" w:hAnsi="Calibri" w:eastAsia="Calibri" w:cs="Times New Roman"/>
      <w:color w:val="auto"/>
      <w:kern w:val="0"/>
      <w:sz w:val="22"/>
      <w:szCs w:val="22"/>
      <w:lang w:eastAsia="en-US" w:val="pl-PL" w:bidi="ar-SA"/>
    </w:rPr>
  </w:style>
  <w:style w:type="paragraph" w:styleId="Nagwek2">
    <w:name w:val="Heading 2"/>
    <w:next w:val="Normal"/>
    <w:link w:val="Nagwek2Znak"/>
    <w:uiPriority w:val="9"/>
    <w:unhideWhenUsed/>
    <w:qFormat/>
    <w:rsid w:val="00ba36ab"/>
    <w:pPr>
      <w:keepNext w:val="true"/>
      <w:keepLines/>
      <w:widowControl/>
      <w:bidi w:val="0"/>
      <w:spacing w:lineRule="auto" w:line="259" w:before="0" w:after="110"/>
      <w:ind w:left="10" w:right="210" w:hanging="10"/>
      <w:jc w:val="right"/>
      <w:outlineLvl w:val="1"/>
    </w:pPr>
    <w:rPr>
      <w:rFonts w:ascii="Arial" w:hAnsi="Arial" w:eastAsia="Arial" w:cs="Arial"/>
      <w:color w:val="000000"/>
      <w:kern w:val="0"/>
      <w:sz w:val="20"/>
      <w:szCs w:val="22"/>
      <w:lang w:val="pl-PL" w:eastAsia="pl-PL" w:bidi="ar-SA"/>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link w:val="Nagwek"/>
    <w:uiPriority w:val="99"/>
    <w:qFormat/>
    <w:rsid w:val="00ce22ed"/>
    <w:rPr/>
  </w:style>
  <w:style w:type="character" w:styleId="StopkaZnak" w:customStyle="1">
    <w:name w:val="Stopka Znak"/>
    <w:basedOn w:val="DefaultParagraphFont"/>
    <w:link w:val="Stopka"/>
    <w:uiPriority w:val="99"/>
    <w:qFormat/>
    <w:rsid w:val="00ce22ed"/>
    <w:rPr/>
  </w:style>
  <w:style w:type="character" w:styleId="TekstdymkaZnak" w:customStyle="1">
    <w:name w:val="Tekst dymka Znak"/>
    <w:link w:val="Tekstdymka"/>
    <w:uiPriority w:val="99"/>
    <w:semiHidden/>
    <w:qFormat/>
    <w:rsid w:val="00ce22ed"/>
    <w:rPr>
      <w:rFonts w:ascii="Tahoma" w:hAnsi="Tahoma" w:cs="Tahoma"/>
      <w:sz w:val="16"/>
      <w:szCs w:val="16"/>
    </w:rPr>
  </w:style>
  <w:style w:type="character" w:styleId="Czeinternetowe">
    <w:name w:val="Łącze internetowe"/>
    <w:uiPriority w:val="99"/>
    <w:unhideWhenUsed/>
    <w:rsid w:val="00e762c5"/>
    <w:rPr>
      <w:color w:val="0000FF"/>
      <w:u w:val="single"/>
    </w:rPr>
  </w:style>
  <w:style w:type="character" w:styleId="PodpisZnak" w:customStyle="1">
    <w:name w:val="Podpis Znak"/>
    <w:link w:val="Podpis"/>
    <w:qFormat/>
    <w:rsid w:val="00644108"/>
    <w:rPr>
      <w:rFonts w:eastAsia="Lucida Sans Unicode" w:cs="Mangal"/>
      <w:i/>
      <w:iCs/>
      <w:sz w:val="24"/>
      <w:szCs w:val="24"/>
    </w:rPr>
  </w:style>
  <w:style w:type="character" w:styleId="TekstprzypisukocowegoZnak" w:customStyle="1">
    <w:name w:val="Tekst przypisu końcowego Znak"/>
    <w:basedOn w:val="DefaultParagraphFont"/>
    <w:link w:val="Tekstprzypisukocowego"/>
    <w:uiPriority w:val="99"/>
    <w:semiHidden/>
    <w:qFormat/>
    <w:rsid w:val="009231cd"/>
    <w:rPr>
      <w:lang w:eastAsia="en-US"/>
    </w:rPr>
  </w:style>
  <w:style w:type="character" w:styleId="Zakotwiczenieprzypisukocowego">
    <w:name w:val="Zakotwiczenie przypisu końcowego"/>
    <w:rPr>
      <w:vertAlign w:val="superscript"/>
    </w:rPr>
  </w:style>
  <w:style w:type="character" w:styleId="EndnoteCharacters">
    <w:name w:val="Endnote Characters"/>
    <w:basedOn w:val="DefaultParagraphFont"/>
    <w:uiPriority w:val="99"/>
    <w:semiHidden/>
    <w:unhideWhenUsed/>
    <w:qFormat/>
    <w:rsid w:val="009231cd"/>
    <w:rPr>
      <w:vertAlign w:val="superscript"/>
    </w:rPr>
  </w:style>
  <w:style w:type="character" w:styleId="UnresolvedMention">
    <w:name w:val="Unresolved Mention"/>
    <w:basedOn w:val="DefaultParagraphFont"/>
    <w:uiPriority w:val="99"/>
    <w:semiHidden/>
    <w:unhideWhenUsed/>
    <w:qFormat/>
    <w:rsid w:val="004f455f"/>
    <w:rPr>
      <w:color w:val="605E5C"/>
      <w:shd w:fill="E1DFDD" w:val="clear"/>
    </w:rPr>
  </w:style>
  <w:style w:type="character" w:styleId="Nagwek2Znak" w:customStyle="1">
    <w:name w:val="Nagłówek 2 Znak"/>
    <w:basedOn w:val="DefaultParagraphFont"/>
    <w:link w:val="Nagwek2"/>
    <w:qFormat/>
    <w:rsid w:val="00ba36ab"/>
    <w:rPr>
      <w:rFonts w:ascii="Arial" w:hAnsi="Arial" w:eastAsia="Arial" w:cs="Arial"/>
      <w:color w:val="000000"/>
      <w:szCs w:val="22"/>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Domylnie"/>
    <w:link w:val="PodpisZnak"/>
    <w:qFormat/>
    <w:rsid w:val="00644108"/>
    <w:pPr>
      <w:suppressLineNumbers/>
      <w:spacing w:before="120" w:after="120"/>
    </w:pPr>
    <w:rPr>
      <w:rFonts w:cs="Mangal"/>
      <w:i/>
      <w:iCs/>
      <w:sz w:val="24"/>
      <w:szCs w:val="24"/>
    </w:rPr>
  </w:style>
  <w:style w:type="paragraph" w:styleId="Indeks">
    <w:name w:val="Indeks"/>
    <w:basedOn w:val="Normal"/>
    <w:qFormat/>
    <w:pPr>
      <w:suppressLineNumbers/>
    </w:pPr>
    <w:rPr>
      <w:rFonts w:cs="Lucida Sans"/>
    </w:rPr>
  </w:style>
  <w:style w:type="paragraph" w:styleId="Gwkaistopka">
    <w:name w:val="Główka i stopka"/>
    <w:basedOn w:val="Normal"/>
    <w:qFormat/>
    <w:pPr/>
    <w:rPr/>
  </w:style>
  <w:style w:type="paragraph" w:styleId="Gwka">
    <w:name w:val="Header"/>
    <w:basedOn w:val="Normal"/>
    <w:link w:val="NagwekZnak"/>
    <w:uiPriority w:val="99"/>
    <w:unhideWhenUsed/>
    <w:rsid w:val="00ce22ed"/>
    <w:pPr>
      <w:tabs>
        <w:tab w:val="clear" w:pos="708"/>
        <w:tab w:val="center" w:pos="4536" w:leader="none"/>
        <w:tab w:val="right" w:pos="9072" w:leader="none"/>
      </w:tabs>
    </w:pPr>
    <w:rPr/>
  </w:style>
  <w:style w:type="paragraph" w:styleId="Stopka">
    <w:name w:val="Footer"/>
    <w:basedOn w:val="Normal"/>
    <w:link w:val="StopkaZnak"/>
    <w:uiPriority w:val="99"/>
    <w:unhideWhenUsed/>
    <w:rsid w:val="00ce22ed"/>
    <w:pPr>
      <w:tabs>
        <w:tab w:val="clear" w:pos="708"/>
        <w:tab w:val="center" w:pos="4536" w:leader="none"/>
        <w:tab w:val="right" w:pos="9072" w:leader="none"/>
      </w:tabs>
    </w:pPr>
    <w:rPr/>
  </w:style>
  <w:style w:type="paragraph" w:styleId="BalloonText">
    <w:name w:val="Balloon Text"/>
    <w:basedOn w:val="Normal"/>
    <w:link w:val="TekstdymkaZnak"/>
    <w:uiPriority w:val="99"/>
    <w:semiHidden/>
    <w:unhideWhenUsed/>
    <w:qFormat/>
    <w:rsid w:val="00ce22ed"/>
    <w:pPr/>
    <w:rPr>
      <w:rFonts w:ascii="Tahoma" w:hAnsi="Tahoma" w:cs="Tahoma"/>
      <w:sz w:val="16"/>
      <w:szCs w:val="16"/>
    </w:rPr>
  </w:style>
  <w:style w:type="paragraph" w:styleId="Domylnie" w:customStyle="1">
    <w:name w:val="Domyślnie"/>
    <w:qFormat/>
    <w:rsid w:val="0023583f"/>
    <w:pPr>
      <w:widowControl/>
      <w:tabs>
        <w:tab w:val="left" w:pos="708" w:leader="none"/>
      </w:tabs>
      <w:suppressAutoHyphens w:val="true"/>
      <w:bidi w:val="0"/>
      <w:spacing w:lineRule="auto" w:line="276" w:before="0" w:after="200"/>
      <w:jc w:val="left"/>
    </w:pPr>
    <w:rPr>
      <w:rFonts w:eastAsia="Lucida Sans Unicode" w:ascii="Calibri" w:hAnsi="Calibri" w:cs="Times New Roman"/>
      <w:color w:val="auto"/>
      <w:kern w:val="0"/>
      <w:sz w:val="22"/>
      <w:szCs w:val="22"/>
      <w:lang w:val="pl-PL" w:eastAsia="pl-PL" w:bidi="ar-SA"/>
    </w:rPr>
  </w:style>
  <w:style w:type="paragraph" w:styleId="NormalWeb">
    <w:name w:val="Normal (Web)"/>
    <w:basedOn w:val="Domylnie"/>
    <w:qFormat/>
    <w:rsid w:val="00f66418"/>
    <w:pPr>
      <w:spacing w:lineRule="atLeast" w:line="100" w:before="28" w:after="28"/>
    </w:pPr>
    <w:rPr>
      <w:rFonts w:ascii="Times New Roman" w:hAnsi="Times New Roman" w:eastAsia="Times New Roman"/>
      <w:sz w:val="24"/>
      <w:szCs w:val="24"/>
    </w:rPr>
  </w:style>
  <w:style w:type="paragraph" w:styleId="Przypiskocowy">
    <w:name w:val="Endnote Text"/>
    <w:basedOn w:val="Normal"/>
    <w:link w:val="TekstprzypisukocowegoZnak"/>
    <w:uiPriority w:val="99"/>
    <w:semiHidden/>
    <w:unhideWhenUsed/>
    <w:rsid w:val="009231cd"/>
    <w:pPr/>
    <w:rPr>
      <w:sz w:val="20"/>
      <w:szCs w:val="20"/>
    </w:rPr>
  </w:style>
  <w:style w:type="paragraph" w:styleId="ListParagraph">
    <w:name w:val="List Paragraph"/>
    <w:basedOn w:val="Normal"/>
    <w:uiPriority w:val="34"/>
    <w:qFormat/>
    <w:rsid w:val="009231cd"/>
    <w:pPr>
      <w:spacing w:before="0" w:after="0"/>
      <w:ind w:left="720" w:hanging="0"/>
      <w:contextualSpacing/>
    </w:pPr>
    <w:rPr/>
  </w:style>
  <w:style w:type="paragraph" w:styleId="Zawartoramki">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ela-Siatka1">
    <w:name w:val="Tabela - Siatka1"/>
    <w:basedOn w:val="Standardowy"/>
    <w:uiPriority w:val="39"/>
    <w:rsid w:val="00a843b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a">
    <w:name w:val="Table Grid"/>
    <w:basedOn w:val="Standardowy"/>
    <w:uiPriority w:val="59"/>
    <w:rsid w:val="00a843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2">
    <w:name w:val="Tabela - Siatka2"/>
    <w:basedOn w:val="Standardowy"/>
    <w:uiPriority w:val="39"/>
    <w:rsid w:val="00a8443f"/>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3">
    <w:name w:val="Tabela - Siatka3"/>
    <w:basedOn w:val="Standardowy"/>
    <w:uiPriority w:val="39"/>
    <w:rsid w:val="0039573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4">
    <w:name w:val="Tabela - Siatka4"/>
    <w:basedOn w:val="Standardowy"/>
    <w:uiPriority w:val="39"/>
    <w:rsid w:val="007a7242"/>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5">
    <w:name w:val="Tabela - Siatka5"/>
    <w:basedOn w:val="Standardowy"/>
    <w:uiPriority w:val="39"/>
    <w:rsid w:val="00ec22f7"/>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6">
    <w:name w:val="Tabela - Siatka6"/>
    <w:basedOn w:val="Standardowy"/>
    <w:uiPriority w:val="39"/>
    <w:rsid w:val="00990c60"/>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szpital.wloclawek.pl/" TargetMode="External"/><Relationship Id="rId2" Type="http://schemas.openxmlformats.org/officeDocument/2006/relationships/hyperlink" Target="http://www.szpital.wloclawek.pl/" TargetMode="External"/><Relationship Id="rId3"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Firmówka</Template>
  <TotalTime>3</TotalTime>
  <Application>LibreOffice/7.0.3.1$Windows_X86_64 LibreOffice_project/d7547858d014d4cf69878db179d326fc3483e082</Application>
  <Pages>4</Pages>
  <Words>1140</Words>
  <Characters>7246</Characters>
  <CharactersWithSpaces>8395</CharactersWithSpaces>
  <Paragraphs>120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2024-05-04T19:51:00Z</dcterms:created>
  <dc:creator>Karolina Welka</dc:creator>
  <dc:description/>
  <dc:language>pl-PL</dc:language>
  <cp:lastModifiedBy/>
  <cp:lastPrinted>2023-09-22T12:35:00Z</cp:lastPrinted>
  <dcterms:modified xsi:type="dcterms:W3CDTF">2024-12-02T10:40:01Z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